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A266" w14:textId="77777777" w:rsidR="0007024F" w:rsidRDefault="00127A4E">
      <w:pPr>
        <w:pStyle w:val="Annexetitle"/>
        <w:ind w:left="0" w:firstLine="0"/>
      </w:pPr>
      <w:r>
        <w:t xml:space="preserve">ANNEX II: TERMS OF REFERENCE </w:t>
      </w:r>
    </w:p>
    <w:sdt>
      <w:sdtPr>
        <w:rPr>
          <w:b w:val="0"/>
          <w:caps w:val="0"/>
          <w:sz w:val="22"/>
        </w:rPr>
        <w:id w:val="2042472854"/>
        <w:docPartObj>
          <w:docPartGallery w:val="Table of Contents"/>
          <w:docPartUnique/>
        </w:docPartObj>
      </w:sdtPr>
      <w:sdtContent>
        <w:p w14:paraId="099A2B5A" w14:textId="77777777" w:rsidR="0007024F" w:rsidRDefault="00127A4E">
          <w:pPr>
            <w:pStyle w:val="TOC1"/>
            <w:rPr>
              <w:rFonts w:asciiTheme="minorHAnsi" w:eastAsiaTheme="minorEastAsia" w:hAnsiTheme="minorHAnsi" w:cstheme="minorBidi"/>
              <w:b w:val="0"/>
              <w:caps w:val="0"/>
              <w:sz w:val="22"/>
              <w:szCs w:val="22"/>
              <w:lang w:val="en-IE" w:eastAsia="fr-BE"/>
            </w:rPr>
          </w:pPr>
          <w:r>
            <w:fldChar w:fldCharType="begin"/>
          </w:r>
          <w:r>
            <w:instrText xml:space="preserve"> TOC \o "1-2" \h</w:instrText>
          </w:r>
          <w:r>
            <w:fldChar w:fldCharType="separate"/>
          </w:r>
          <w:r>
            <w:t>1.</w:t>
          </w:r>
          <w:r>
            <w:rPr>
              <w:rFonts w:asciiTheme="minorHAnsi" w:eastAsiaTheme="minorEastAsia" w:hAnsiTheme="minorHAnsi" w:cstheme="minorBidi"/>
              <w:b w:val="0"/>
              <w:caps w:val="0"/>
              <w:sz w:val="22"/>
              <w:szCs w:val="22"/>
              <w:lang w:val="en-IE" w:eastAsia="fr-BE"/>
            </w:rPr>
            <w:tab/>
          </w:r>
          <w:r>
            <w:t>BACKGROUND INFORMATION</w:t>
          </w:r>
          <w:r>
            <w:tab/>
            <w:t>2</w:t>
          </w:r>
        </w:p>
        <w:p w14:paraId="7A7DDEC1"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1.1.</w:t>
          </w:r>
          <w:r>
            <w:rPr>
              <w:rFonts w:asciiTheme="minorHAnsi" w:eastAsiaTheme="minorEastAsia" w:hAnsiTheme="minorHAnsi" w:cstheme="minorBidi"/>
              <w:szCs w:val="22"/>
              <w:lang w:val="en-IE" w:eastAsia="fr-BE"/>
            </w:rPr>
            <w:tab/>
          </w:r>
          <w:r>
            <w:t>Partner country</w:t>
          </w:r>
          <w:r>
            <w:tab/>
            <w:t>2</w:t>
          </w:r>
        </w:p>
        <w:p w14:paraId="49D781C2"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1.2.</w:t>
          </w:r>
          <w:r>
            <w:rPr>
              <w:rFonts w:asciiTheme="minorHAnsi" w:eastAsiaTheme="minorEastAsia" w:hAnsiTheme="minorHAnsi" w:cstheme="minorBidi"/>
              <w:szCs w:val="22"/>
              <w:lang w:val="en-IE" w:eastAsia="fr-BE"/>
            </w:rPr>
            <w:tab/>
          </w:r>
          <w:r>
            <w:t>Contracting authority</w:t>
          </w:r>
          <w:r>
            <w:tab/>
            <w:t>2</w:t>
          </w:r>
        </w:p>
        <w:p w14:paraId="6B99BBD3"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1.3.</w:t>
          </w:r>
          <w:r>
            <w:rPr>
              <w:rFonts w:asciiTheme="minorHAnsi" w:eastAsiaTheme="minorEastAsia" w:hAnsiTheme="minorHAnsi" w:cstheme="minorBidi"/>
              <w:szCs w:val="22"/>
              <w:lang w:val="en-IE" w:eastAsia="fr-BE"/>
            </w:rPr>
            <w:tab/>
          </w:r>
          <w:r>
            <w:t>Country background</w:t>
          </w:r>
          <w:r>
            <w:tab/>
            <w:t>2</w:t>
          </w:r>
        </w:p>
        <w:p w14:paraId="03C79161"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1.4.</w:t>
          </w:r>
          <w:r>
            <w:rPr>
              <w:rFonts w:asciiTheme="minorHAnsi" w:eastAsiaTheme="minorEastAsia" w:hAnsiTheme="minorHAnsi" w:cstheme="minorBidi"/>
              <w:szCs w:val="22"/>
              <w:lang w:val="en-IE" w:eastAsia="fr-BE"/>
            </w:rPr>
            <w:tab/>
          </w:r>
          <w:r>
            <w:t>Current situation in the sector</w:t>
          </w:r>
          <w:r>
            <w:tab/>
            <w:t>2</w:t>
          </w:r>
        </w:p>
        <w:p w14:paraId="1A20F64E"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1.5.</w:t>
          </w:r>
          <w:r>
            <w:rPr>
              <w:rFonts w:asciiTheme="minorHAnsi" w:eastAsiaTheme="minorEastAsia" w:hAnsiTheme="minorHAnsi" w:cstheme="minorBidi"/>
              <w:szCs w:val="22"/>
              <w:lang w:val="en-IE" w:eastAsia="fr-BE"/>
            </w:rPr>
            <w:tab/>
          </w:r>
          <w:r>
            <w:t>Related programmes and other donor activities</w:t>
          </w:r>
          <w:r>
            <w:tab/>
            <w:t>2</w:t>
          </w:r>
        </w:p>
        <w:p w14:paraId="7D95CD6C" w14:textId="77777777" w:rsidR="0007024F" w:rsidRDefault="00127A4E">
          <w:pPr>
            <w:pStyle w:val="TOC1"/>
            <w:rPr>
              <w:rFonts w:asciiTheme="minorHAnsi" w:eastAsiaTheme="minorEastAsia" w:hAnsiTheme="minorHAnsi" w:cstheme="minorBidi"/>
              <w:b w:val="0"/>
              <w:caps w:val="0"/>
              <w:sz w:val="22"/>
              <w:szCs w:val="22"/>
              <w:lang w:val="en-IE" w:eastAsia="fr-BE"/>
            </w:rPr>
          </w:pPr>
          <w:r>
            <w:t>2.</w:t>
          </w:r>
          <w:r>
            <w:rPr>
              <w:rFonts w:asciiTheme="minorHAnsi" w:eastAsiaTheme="minorEastAsia" w:hAnsiTheme="minorHAnsi" w:cstheme="minorBidi"/>
              <w:b w:val="0"/>
              <w:caps w:val="0"/>
              <w:sz w:val="22"/>
              <w:szCs w:val="22"/>
              <w:lang w:val="en-IE" w:eastAsia="fr-BE"/>
            </w:rPr>
            <w:tab/>
          </w:r>
          <w:r>
            <w:t>OBJECTIVES &amp; EXPECTED OUTPUTS</w:t>
          </w:r>
          <w:r>
            <w:tab/>
            <w:t>2</w:t>
          </w:r>
        </w:p>
        <w:p w14:paraId="76F6A630"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2.1.</w:t>
          </w:r>
          <w:r>
            <w:rPr>
              <w:rFonts w:asciiTheme="minorHAnsi" w:eastAsiaTheme="minorEastAsia" w:hAnsiTheme="minorHAnsi" w:cstheme="minorBidi"/>
              <w:szCs w:val="22"/>
              <w:lang w:val="en-IE" w:eastAsia="fr-BE"/>
            </w:rPr>
            <w:tab/>
          </w:r>
          <w:r>
            <w:t>Overall objective</w:t>
          </w:r>
          <w:r>
            <w:tab/>
            <w:t>2</w:t>
          </w:r>
        </w:p>
        <w:p w14:paraId="6F526650"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2.2.</w:t>
          </w:r>
          <w:r>
            <w:rPr>
              <w:rFonts w:asciiTheme="minorHAnsi" w:eastAsiaTheme="minorEastAsia" w:hAnsiTheme="minorHAnsi" w:cstheme="minorBidi"/>
              <w:szCs w:val="22"/>
              <w:lang w:val="en-IE" w:eastAsia="fr-BE"/>
            </w:rPr>
            <w:tab/>
          </w:r>
          <w:r>
            <w:t xml:space="preserve"> Specific Objective(s)</w:t>
          </w:r>
          <w:r>
            <w:tab/>
            <w:t>3</w:t>
          </w:r>
        </w:p>
        <w:p w14:paraId="472BF409"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2.3.</w:t>
          </w:r>
          <w:r>
            <w:rPr>
              <w:rFonts w:asciiTheme="minorHAnsi" w:eastAsiaTheme="minorEastAsia" w:hAnsiTheme="minorHAnsi" w:cstheme="minorBidi"/>
              <w:szCs w:val="22"/>
              <w:lang w:val="en-IE" w:eastAsia="fr-BE"/>
            </w:rPr>
            <w:tab/>
          </w:r>
          <w:r>
            <w:t>Expected outputs to be achieved by the contractor</w:t>
          </w:r>
          <w:r>
            <w:tab/>
            <w:t>3</w:t>
          </w:r>
        </w:p>
        <w:p w14:paraId="7C3DE98A" w14:textId="77777777" w:rsidR="0007024F" w:rsidRDefault="00127A4E">
          <w:pPr>
            <w:pStyle w:val="TOC1"/>
            <w:rPr>
              <w:rFonts w:asciiTheme="minorHAnsi" w:eastAsiaTheme="minorEastAsia" w:hAnsiTheme="minorHAnsi" w:cstheme="minorBidi"/>
              <w:b w:val="0"/>
              <w:caps w:val="0"/>
              <w:sz w:val="22"/>
              <w:szCs w:val="22"/>
              <w:lang w:val="en-IE" w:eastAsia="fr-BE"/>
            </w:rPr>
          </w:pPr>
          <w:r>
            <w:t>3.</w:t>
          </w:r>
          <w:r>
            <w:rPr>
              <w:rFonts w:asciiTheme="minorHAnsi" w:eastAsiaTheme="minorEastAsia" w:hAnsiTheme="minorHAnsi" w:cstheme="minorBidi"/>
              <w:b w:val="0"/>
              <w:caps w:val="0"/>
              <w:sz w:val="22"/>
              <w:szCs w:val="22"/>
              <w:lang w:val="en-IE" w:eastAsia="fr-BE"/>
            </w:rPr>
            <w:tab/>
          </w:r>
          <w:r>
            <w:t>ASSUMPTIONS &amp; RISKS</w:t>
          </w:r>
          <w:r>
            <w:tab/>
            <w:t>3</w:t>
          </w:r>
        </w:p>
        <w:p w14:paraId="6E353F07"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3.1.</w:t>
          </w:r>
          <w:r>
            <w:rPr>
              <w:rFonts w:asciiTheme="minorHAnsi" w:eastAsiaTheme="minorEastAsia" w:hAnsiTheme="minorHAnsi" w:cstheme="minorBidi"/>
              <w:szCs w:val="22"/>
              <w:lang w:val="en-IE" w:eastAsia="fr-BE"/>
            </w:rPr>
            <w:tab/>
          </w:r>
          <w:r>
            <w:t>Assumptions underlying the project</w:t>
          </w:r>
          <w:r>
            <w:tab/>
            <w:t>3</w:t>
          </w:r>
        </w:p>
        <w:p w14:paraId="0BBFDEF7"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3.2.</w:t>
          </w:r>
          <w:r>
            <w:rPr>
              <w:rFonts w:asciiTheme="minorHAnsi" w:eastAsiaTheme="minorEastAsia" w:hAnsiTheme="minorHAnsi" w:cstheme="minorBidi"/>
              <w:szCs w:val="22"/>
              <w:lang w:val="en-IE" w:eastAsia="fr-BE"/>
            </w:rPr>
            <w:tab/>
          </w:r>
          <w:r>
            <w:t>Risks</w:t>
          </w:r>
          <w:r>
            <w:tab/>
            <w:t>3</w:t>
          </w:r>
        </w:p>
        <w:p w14:paraId="5AD9611A" w14:textId="77777777" w:rsidR="0007024F" w:rsidRDefault="00127A4E">
          <w:pPr>
            <w:pStyle w:val="TOC1"/>
            <w:rPr>
              <w:rFonts w:asciiTheme="minorHAnsi" w:eastAsiaTheme="minorEastAsia" w:hAnsiTheme="minorHAnsi" w:cstheme="minorBidi"/>
              <w:b w:val="0"/>
              <w:caps w:val="0"/>
              <w:sz w:val="22"/>
              <w:szCs w:val="22"/>
              <w:lang w:val="en-IE" w:eastAsia="fr-BE"/>
            </w:rPr>
          </w:pPr>
          <w:r>
            <w:t>4.</w:t>
          </w:r>
          <w:r>
            <w:rPr>
              <w:rFonts w:asciiTheme="minorHAnsi" w:eastAsiaTheme="minorEastAsia" w:hAnsiTheme="minorHAnsi" w:cstheme="minorBidi"/>
              <w:b w:val="0"/>
              <w:caps w:val="0"/>
              <w:sz w:val="22"/>
              <w:szCs w:val="22"/>
              <w:lang w:val="en-IE" w:eastAsia="fr-BE"/>
            </w:rPr>
            <w:tab/>
          </w:r>
          <w:r>
            <w:t>SCOPE OF THE WORK</w:t>
          </w:r>
          <w:r>
            <w:tab/>
            <w:t>3</w:t>
          </w:r>
        </w:p>
        <w:p w14:paraId="606F0533"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4.1.</w:t>
          </w:r>
          <w:r>
            <w:rPr>
              <w:rFonts w:asciiTheme="minorHAnsi" w:eastAsiaTheme="minorEastAsia" w:hAnsiTheme="minorHAnsi" w:cstheme="minorBidi"/>
              <w:szCs w:val="22"/>
              <w:lang w:val="en-IE" w:eastAsia="fr-BE"/>
            </w:rPr>
            <w:tab/>
          </w:r>
          <w:r>
            <w:t>General</w:t>
          </w:r>
          <w:r>
            <w:tab/>
            <w:t>3</w:t>
          </w:r>
        </w:p>
        <w:p w14:paraId="1E275ECE"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4.2.</w:t>
          </w:r>
          <w:r>
            <w:rPr>
              <w:rFonts w:asciiTheme="minorHAnsi" w:eastAsiaTheme="minorEastAsia" w:hAnsiTheme="minorHAnsi" w:cstheme="minorBidi"/>
              <w:szCs w:val="22"/>
              <w:lang w:val="en-IE" w:eastAsia="fr-BE"/>
            </w:rPr>
            <w:tab/>
          </w:r>
          <w:r>
            <w:t>Specific work</w:t>
          </w:r>
          <w:r>
            <w:tab/>
            <w:t>4</w:t>
          </w:r>
        </w:p>
        <w:p w14:paraId="676CC02D"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4.3.</w:t>
          </w:r>
          <w:r>
            <w:rPr>
              <w:rFonts w:asciiTheme="minorHAnsi" w:eastAsiaTheme="minorEastAsia" w:hAnsiTheme="minorHAnsi" w:cstheme="minorBidi"/>
              <w:szCs w:val="22"/>
              <w:lang w:val="en-IE" w:eastAsia="fr-BE"/>
            </w:rPr>
            <w:tab/>
          </w:r>
          <w:r>
            <w:t>Project management</w:t>
          </w:r>
          <w:r>
            <w:tab/>
            <w:t>4</w:t>
          </w:r>
        </w:p>
        <w:p w14:paraId="52157928" w14:textId="77777777" w:rsidR="0007024F" w:rsidRDefault="00127A4E">
          <w:pPr>
            <w:pStyle w:val="TOC1"/>
            <w:rPr>
              <w:rFonts w:asciiTheme="minorHAnsi" w:eastAsiaTheme="minorEastAsia" w:hAnsiTheme="minorHAnsi" w:cstheme="minorBidi"/>
              <w:b w:val="0"/>
              <w:caps w:val="0"/>
              <w:sz w:val="22"/>
              <w:szCs w:val="22"/>
              <w:lang w:val="en-IE" w:eastAsia="fr-BE"/>
            </w:rPr>
          </w:pPr>
          <w:r>
            <w:t>5.</w:t>
          </w:r>
          <w:r>
            <w:rPr>
              <w:rFonts w:asciiTheme="minorHAnsi" w:eastAsiaTheme="minorEastAsia" w:hAnsiTheme="minorHAnsi" w:cstheme="minorBidi"/>
              <w:b w:val="0"/>
              <w:caps w:val="0"/>
              <w:sz w:val="22"/>
              <w:szCs w:val="22"/>
              <w:lang w:val="en-IE" w:eastAsia="fr-BE"/>
            </w:rPr>
            <w:tab/>
          </w:r>
          <w:r>
            <w:t>LOGISTICS AND TIMING</w:t>
          </w:r>
          <w:r>
            <w:tab/>
            <w:t>4</w:t>
          </w:r>
        </w:p>
        <w:p w14:paraId="1CD5C235"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5.1.</w:t>
          </w:r>
          <w:r>
            <w:rPr>
              <w:rFonts w:asciiTheme="minorHAnsi" w:eastAsiaTheme="minorEastAsia" w:hAnsiTheme="minorHAnsi" w:cstheme="minorBidi"/>
              <w:szCs w:val="22"/>
              <w:lang w:val="en-IE" w:eastAsia="fr-BE"/>
            </w:rPr>
            <w:tab/>
          </w:r>
          <w:r>
            <w:t>Location</w:t>
          </w:r>
          <w:r>
            <w:tab/>
            <w:t>4</w:t>
          </w:r>
        </w:p>
        <w:p w14:paraId="4F883A74"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5.2.</w:t>
          </w:r>
          <w:r>
            <w:rPr>
              <w:rFonts w:asciiTheme="minorHAnsi" w:eastAsiaTheme="minorEastAsia" w:hAnsiTheme="minorHAnsi" w:cstheme="minorBidi"/>
              <w:szCs w:val="22"/>
              <w:lang w:val="en-IE" w:eastAsia="fr-BE"/>
            </w:rPr>
            <w:tab/>
          </w:r>
          <w:r>
            <w:t>Start date &amp; period of implementation of tasks</w:t>
          </w:r>
          <w:r>
            <w:tab/>
            <w:t>4</w:t>
          </w:r>
        </w:p>
        <w:p w14:paraId="38374DC1" w14:textId="77777777" w:rsidR="0007024F" w:rsidRDefault="00127A4E">
          <w:pPr>
            <w:pStyle w:val="TOC1"/>
            <w:rPr>
              <w:rFonts w:asciiTheme="minorHAnsi" w:eastAsiaTheme="minorEastAsia" w:hAnsiTheme="minorHAnsi" w:cstheme="minorBidi"/>
              <w:b w:val="0"/>
              <w:caps w:val="0"/>
              <w:sz w:val="22"/>
              <w:szCs w:val="22"/>
              <w:lang w:val="en-IE" w:eastAsia="fr-BE"/>
            </w:rPr>
          </w:pPr>
          <w:r>
            <w:t>6.</w:t>
          </w:r>
          <w:r>
            <w:rPr>
              <w:rFonts w:asciiTheme="minorHAnsi" w:eastAsiaTheme="minorEastAsia" w:hAnsiTheme="minorHAnsi" w:cstheme="minorBidi"/>
              <w:b w:val="0"/>
              <w:caps w:val="0"/>
              <w:sz w:val="22"/>
              <w:szCs w:val="22"/>
              <w:lang w:val="en-IE" w:eastAsia="fr-BE"/>
            </w:rPr>
            <w:tab/>
          </w:r>
          <w:r>
            <w:t>REQUIREMENTS</w:t>
          </w:r>
          <w:r>
            <w:tab/>
            <w:t>5</w:t>
          </w:r>
        </w:p>
        <w:p w14:paraId="3CAEC83E"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6.1.</w:t>
          </w:r>
          <w:r>
            <w:rPr>
              <w:rFonts w:asciiTheme="minorHAnsi" w:eastAsiaTheme="minorEastAsia" w:hAnsiTheme="minorHAnsi" w:cstheme="minorBidi"/>
              <w:szCs w:val="22"/>
              <w:lang w:val="en-IE" w:eastAsia="fr-BE"/>
            </w:rPr>
            <w:tab/>
          </w:r>
          <w:r>
            <w:t>Staff</w:t>
          </w:r>
          <w:r>
            <w:tab/>
            <w:t>5</w:t>
          </w:r>
        </w:p>
        <w:p w14:paraId="1844D847"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6.2.</w:t>
          </w:r>
          <w:r>
            <w:rPr>
              <w:rFonts w:asciiTheme="minorHAnsi" w:eastAsiaTheme="minorEastAsia" w:hAnsiTheme="minorHAnsi" w:cstheme="minorBidi"/>
              <w:szCs w:val="22"/>
              <w:lang w:val="en-IE" w:eastAsia="fr-BE"/>
            </w:rPr>
            <w:tab/>
          </w:r>
          <w:r>
            <w:t>Office accommodation</w:t>
          </w:r>
          <w:r>
            <w:tab/>
            <w:t>7</w:t>
          </w:r>
        </w:p>
        <w:p w14:paraId="2429E8E5"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6.3.</w:t>
          </w:r>
          <w:r>
            <w:rPr>
              <w:rFonts w:asciiTheme="minorHAnsi" w:eastAsiaTheme="minorEastAsia" w:hAnsiTheme="minorHAnsi" w:cstheme="minorBidi"/>
              <w:szCs w:val="22"/>
              <w:lang w:val="en-IE" w:eastAsia="fr-BE"/>
            </w:rPr>
            <w:tab/>
          </w:r>
          <w:r>
            <w:t>Facilities to be provided by the contractor</w:t>
          </w:r>
          <w:r>
            <w:tab/>
            <w:t>7</w:t>
          </w:r>
        </w:p>
        <w:p w14:paraId="76D86F81"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6.4.</w:t>
          </w:r>
          <w:r>
            <w:rPr>
              <w:rFonts w:asciiTheme="minorHAnsi" w:eastAsiaTheme="minorEastAsia" w:hAnsiTheme="minorHAnsi" w:cstheme="minorBidi"/>
              <w:szCs w:val="22"/>
              <w:lang w:val="en-IE" w:eastAsia="fr-BE"/>
            </w:rPr>
            <w:tab/>
          </w:r>
          <w:r>
            <w:t>Equipment</w:t>
          </w:r>
          <w:r>
            <w:tab/>
            <w:t>7</w:t>
          </w:r>
        </w:p>
        <w:p w14:paraId="683AB1A7" w14:textId="77777777" w:rsidR="0007024F" w:rsidRDefault="00127A4E">
          <w:pPr>
            <w:pStyle w:val="TOC1"/>
            <w:rPr>
              <w:rFonts w:asciiTheme="minorHAnsi" w:eastAsiaTheme="minorEastAsia" w:hAnsiTheme="minorHAnsi" w:cstheme="minorBidi"/>
              <w:b w:val="0"/>
              <w:caps w:val="0"/>
              <w:sz w:val="22"/>
              <w:szCs w:val="22"/>
              <w:lang w:val="en-IE" w:eastAsia="fr-BE"/>
            </w:rPr>
          </w:pPr>
          <w:r>
            <w:t>7.</w:t>
          </w:r>
          <w:r>
            <w:rPr>
              <w:rFonts w:asciiTheme="minorHAnsi" w:eastAsiaTheme="minorEastAsia" w:hAnsiTheme="minorHAnsi" w:cstheme="minorBidi"/>
              <w:b w:val="0"/>
              <w:caps w:val="0"/>
              <w:sz w:val="22"/>
              <w:szCs w:val="22"/>
              <w:lang w:val="en-IE" w:eastAsia="fr-BE"/>
            </w:rPr>
            <w:tab/>
          </w:r>
          <w:r>
            <w:t>REPORTS</w:t>
          </w:r>
          <w:r>
            <w:tab/>
            <w:t>7</w:t>
          </w:r>
        </w:p>
        <w:p w14:paraId="2EBE555F"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7.1.</w:t>
          </w:r>
          <w:r>
            <w:rPr>
              <w:rFonts w:asciiTheme="minorHAnsi" w:eastAsiaTheme="minorEastAsia" w:hAnsiTheme="minorHAnsi" w:cstheme="minorBidi"/>
              <w:szCs w:val="22"/>
              <w:lang w:val="en-IE" w:eastAsia="fr-BE"/>
            </w:rPr>
            <w:tab/>
          </w:r>
          <w:r>
            <w:t>Reporting requirements</w:t>
          </w:r>
          <w:r>
            <w:tab/>
            <w:t>7</w:t>
          </w:r>
        </w:p>
        <w:p w14:paraId="56DDE119"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7.2.</w:t>
          </w:r>
          <w:r>
            <w:rPr>
              <w:rFonts w:asciiTheme="minorHAnsi" w:eastAsiaTheme="minorEastAsia" w:hAnsiTheme="minorHAnsi" w:cstheme="minorBidi"/>
              <w:szCs w:val="22"/>
              <w:lang w:val="en-IE" w:eastAsia="fr-BE"/>
            </w:rPr>
            <w:tab/>
          </w:r>
          <w:r>
            <w:t>Submission and approval of reports</w:t>
          </w:r>
          <w:r>
            <w:tab/>
            <w:t>8</w:t>
          </w:r>
        </w:p>
        <w:p w14:paraId="19114FC8" w14:textId="77777777" w:rsidR="0007024F" w:rsidRDefault="00127A4E">
          <w:pPr>
            <w:pStyle w:val="TOC1"/>
            <w:rPr>
              <w:rFonts w:asciiTheme="minorHAnsi" w:eastAsiaTheme="minorEastAsia" w:hAnsiTheme="minorHAnsi" w:cstheme="minorBidi"/>
              <w:b w:val="0"/>
              <w:caps w:val="0"/>
              <w:sz w:val="22"/>
              <w:szCs w:val="22"/>
              <w:lang w:val="en-IE" w:eastAsia="fr-BE"/>
            </w:rPr>
          </w:pPr>
          <w:r>
            <w:t>8.</w:t>
          </w:r>
          <w:r>
            <w:rPr>
              <w:rFonts w:asciiTheme="minorHAnsi" w:eastAsiaTheme="minorEastAsia" w:hAnsiTheme="minorHAnsi" w:cstheme="minorBidi"/>
              <w:b w:val="0"/>
              <w:caps w:val="0"/>
              <w:sz w:val="22"/>
              <w:szCs w:val="22"/>
              <w:lang w:val="en-IE" w:eastAsia="fr-BE"/>
            </w:rPr>
            <w:tab/>
          </w:r>
          <w:r>
            <w:t>MONITORING AND EVALUATION</w:t>
          </w:r>
          <w:r>
            <w:tab/>
            <w:t>8</w:t>
          </w:r>
        </w:p>
        <w:p w14:paraId="482E5B03" w14:textId="77777777" w:rsidR="0007024F" w:rsidRDefault="00127A4E">
          <w:pPr>
            <w:pStyle w:val="TOC2"/>
            <w:tabs>
              <w:tab w:val="left" w:pos="1077"/>
            </w:tabs>
            <w:rPr>
              <w:rFonts w:asciiTheme="minorHAnsi" w:eastAsiaTheme="minorEastAsia" w:hAnsiTheme="minorHAnsi" w:cstheme="minorBidi"/>
              <w:szCs w:val="22"/>
              <w:lang w:val="en-IE" w:eastAsia="fr-BE"/>
            </w:rPr>
          </w:pPr>
          <w:r>
            <w:rPr>
              <w14:scene3d>
                <w14:camera w14:prst="orthographicFront"/>
                <w14:lightRig w14:rig="threePt" w14:dir="t">
                  <w14:rot w14:lat="0" w14:lon="0" w14:rev="0"/>
                </w14:lightRig>
              </w14:scene3d>
            </w:rPr>
            <w:t>8.1.</w:t>
          </w:r>
          <w:r>
            <w:rPr>
              <w:rFonts w:asciiTheme="minorHAnsi" w:eastAsiaTheme="minorEastAsia" w:hAnsiTheme="minorHAnsi" w:cstheme="minorBidi"/>
              <w:szCs w:val="22"/>
              <w:lang w:val="en-IE" w:eastAsia="fr-BE"/>
            </w:rPr>
            <w:tab/>
          </w:r>
          <w:r>
            <w:t>Definition of indicators</w:t>
          </w:r>
          <w:r>
            <w:tab/>
            <w:t>8</w:t>
          </w:r>
        </w:p>
        <w:p w14:paraId="35665423" w14:textId="77777777" w:rsidR="0007024F" w:rsidRDefault="00127A4E">
          <w:pPr>
            <w:pStyle w:val="TOC2"/>
            <w:tabs>
              <w:tab w:val="left" w:pos="1077"/>
            </w:tabs>
            <w:rPr>
              <w:rFonts w:asciiTheme="minorHAnsi" w:eastAsiaTheme="minorEastAsia" w:hAnsiTheme="minorHAnsi" w:cstheme="minorBidi"/>
              <w:szCs w:val="22"/>
              <w:lang w:val="fr-BE" w:eastAsia="fr-BE"/>
            </w:rPr>
          </w:pPr>
          <w:r>
            <w:rPr>
              <w14:scene3d>
                <w14:camera w14:prst="orthographicFront"/>
                <w14:lightRig w14:rig="threePt" w14:dir="t">
                  <w14:rot w14:lat="0" w14:lon="0" w14:rev="0"/>
                </w14:lightRig>
              </w14:scene3d>
            </w:rPr>
            <w:t>8.2.</w:t>
          </w:r>
          <w:r>
            <w:rPr>
              <w:rFonts w:asciiTheme="minorHAnsi" w:eastAsiaTheme="minorEastAsia" w:hAnsiTheme="minorHAnsi" w:cstheme="minorBidi"/>
              <w:szCs w:val="22"/>
              <w:lang w:val="fr-BE" w:eastAsia="fr-BE"/>
            </w:rPr>
            <w:tab/>
          </w:r>
          <w:r>
            <w:t>Special requirements</w:t>
          </w:r>
          <w:r>
            <w:tab/>
            <w:t>8</w:t>
          </w:r>
          <w:r>
            <w:fldChar w:fldCharType="end"/>
          </w:r>
        </w:p>
      </w:sdtContent>
    </w:sdt>
    <w:p w14:paraId="31B69895" w14:textId="77777777" w:rsidR="0007024F" w:rsidRDefault="00127A4E">
      <w:pPr>
        <w:tabs>
          <w:tab w:val="left" w:pos="1077"/>
        </w:tabs>
        <w:sectPr w:rsidR="0007024F" w:rsidSect="0031191E">
          <w:headerReference w:type="default" r:id="rId11"/>
          <w:footerReference w:type="default" r:id="rId12"/>
          <w:pgSz w:w="11906" w:h="16838"/>
          <w:pgMar w:top="777" w:right="1134" w:bottom="1134" w:left="1134" w:header="720" w:footer="720" w:gutter="567"/>
          <w:pgNumType w:start="1"/>
          <w:cols w:space="720"/>
          <w:formProt w:val="0"/>
          <w:docGrid w:linePitch="100" w:charSpace="24576"/>
        </w:sectPr>
      </w:pPr>
      <w:r>
        <w:rPr>
          <w:rFonts w:ascii="Times New Roman" w:hAnsi="Times New Roman"/>
          <w:smallCaps/>
          <w:sz w:val="24"/>
          <w:szCs w:val="22"/>
          <w:lang w:eastAsia="en-US"/>
        </w:rPr>
        <w:tab/>
      </w:r>
    </w:p>
    <w:p w14:paraId="45086C1D" w14:textId="77777777" w:rsidR="0007024F" w:rsidRDefault="00127A4E">
      <w:pPr>
        <w:pStyle w:val="Heading1"/>
      </w:pPr>
      <w:bookmarkStart w:id="0" w:name="_Toc67320735"/>
      <w:r>
        <w:lastRenderedPageBreak/>
        <w:t>BACKGROUND INFORMATION</w:t>
      </w:r>
      <w:bookmarkEnd w:id="0"/>
    </w:p>
    <w:p w14:paraId="6F286229" w14:textId="77777777" w:rsidR="0007024F" w:rsidRDefault="00127A4E">
      <w:pPr>
        <w:pStyle w:val="Heading2"/>
      </w:pPr>
      <w:bookmarkStart w:id="1" w:name="_Toc67320736"/>
      <w:r>
        <w:t>Partner country</w:t>
      </w:r>
      <w:bookmarkEnd w:id="1"/>
    </w:p>
    <w:p w14:paraId="7B4A9FA0" w14:textId="77777777" w:rsidR="0007024F" w:rsidRDefault="00127A4E">
      <w:pPr>
        <w:rPr>
          <w:rFonts w:ascii="Times New Roman" w:hAnsi="Times New Roman"/>
          <w:sz w:val="22"/>
          <w:szCs w:val="22"/>
        </w:rPr>
      </w:pPr>
      <w:r>
        <w:rPr>
          <w:rFonts w:ascii="Times New Roman" w:hAnsi="Times New Roman"/>
          <w:sz w:val="22"/>
          <w:szCs w:val="22"/>
        </w:rPr>
        <w:t xml:space="preserve">Republic of North Macedonia </w:t>
      </w:r>
    </w:p>
    <w:p w14:paraId="78DAAA24" w14:textId="77777777" w:rsidR="0007024F" w:rsidRDefault="00127A4E">
      <w:pPr>
        <w:pStyle w:val="Heading2"/>
      </w:pPr>
      <w:bookmarkStart w:id="2" w:name="_Toc67320737"/>
      <w:r>
        <w:t>Contracting authority</w:t>
      </w:r>
      <w:bookmarkEnd w:id="2"/>
    </w:p>
    <w:p w14:paraId="77BE325E" w14:textId="1F38F261" w:rsidR="0007024F" w:rsidRDefault="00127A4E">
      <w:pPr>
        <w:rPr>
          <w:rFonts w:ascii="Times New Roman" w:hAnsi="Times New Roman"/>
          <w:sz w:val="22"/>
          <w:szCs w:val="22"/>
        </w:rPr>
      </w:pPr>
      <w:r>
        <w:rPr>
          <w:rFonts w:ascii="Times New Roman" w:hAnsi="Times New Roman"/>
          <w:sz w:val="22"/>
          <w:szCs w:val="22"/>
        </w:rPr>
        <w:t>The Contracting Authority (CA) is the</w:t>
      </w:r>
      <w:r w:rsidR="004D465A">
        <w:rPr>
          <w:rFonts w:ascii="Times New Roman" w:hAnsi="Times New Roman"/>
          <w:sz w:val="22"/>
          <w:szCs w:val="22"/>
        </w:rPr>
        <w:t xml:space="preserve"> Ministry of Finance /</w:t>
      </w:r>
      <w:r>
        <w:rPr>
          <w:rFonts w:ascii="Times New Roman" w:hAnsi="Times New Roman"/>
          <w:sz w:val="22"/>
          <w:szCs w:val="22"/>
        </w:rPr>
        <w:t>Customs Administration of the Republic of North Macedonia (CARNM)</w:t>
      </w:r>
      <w:r>
        <w:rPr>
          <w:rFonts w:ascii="Times New Roman" w:hAnsi="Times New Roman"/>
          <w:sz w:val="22"/>
          <w:szCs w:val="22"/>
          <w:lang w:val="mk-MK"/>
        </w:rPr>
        <w:t xml:space="preserve">, </w:t>
      </w:r>
      <w:r>
        <w:rPr>
          <w:rFonts w:ascii="Times New Roman" w:hAnsi="Times New Roman"/>
          <w:sz w:val="22"/>
          <w:szCs w:val="22"/>
        </w:rPr>
        <w:t>Skopje</w:t>
      </w:r>
    </w:p>
    <w:p w14:paraId="569F33C3" w14:textId="77777777" w:rsidR="0007024F" w:rsidRDefault="00127A4E">
      <w:pPr>
        <w:pStyle w:val="Heading2"/>
      </w:pPr>
      <w:bookmarkStart w:id="3" w:name="_Toc67320738"/>
      <w:r>
        <w:t>Country background</w:t>
      </w:r>
      <w:bookmarkEnd w:id="3"/>
    </w:p>
    <w:p w14:paraId="3491A42B" w14:textId="77777777" w:rsidR="0007024F" w:rsidRDefault="00127A4E">
      <w:pPr>
        <w:spacing w:after="0"/>
        <w:rPr>
          <w:rFonts w:ascii="Times New Roman" w:hAnsi="Times New Roman"/>
          <w:sz w:val="22"/>
          <w:szCs w:val="22"/>
        </w:rPr>
      </w:pPr>
      <w:r>
        <w:rPr>
          <w:rFonts w:ascii="Times New Roman" w:hAnsi="Times New Roman"/>
          <w:sz w:val="22"/>
          <w:szCs w:val="22"/>
        </w:rPr>
        <w:t xml:space="preserve">The Government of the Republic of North Macedonia is committed to transpose EU Guidelines and Directives/Regulations (the EU acquis) with the aim of integrating within the European Union and becoming a full member of the European Union. The National Transport Strategy (NTS) demonstrates this ambition through the development of a sustainable transport sector that is harmonized with other strategic developments of the country; that disposes of an intermodal infrastructure fully integrated into the European TEN-T network; that is governed according to the principles of good governance respecting the universal right of “mobility” for all; and that is properly regulated in accordance with EU rules and regulations while incorporating international best practices for its further development.  Guided by the fundamental principle that transport is a service rather than an economic good, the NTS takes into account overall objectives for the economic and social development of the country, for considering the needs of future generations, and for preserving the environment. The National Transport Strategy therefore proposes activities and policy measures on a medium and long-term period to efficiently and effectively address the key challenge to improve the quality of transport infrastructures and operations.  </w:t>
      </w:r>
    </w:p>
    <w:p w14:paraId="5253E7C7" w14:textId="77777777" w:rsidR="0007024F" w:rsidRDefault="0007024F">
      <w:pPr>
        <w:spacing w:after="0"/>
        <w:rPr>
          <w:rFonts w:ascii="Times New Roman" w:hAnsi="Times New Roman"/>
          <w:sz w:val="22"/>
          <w:szCs w:val="22"/>
        </w:rPr>
      </w:pPr>
    </w:p>
    <w:p w14:paraId="77EF952E" w14:textId="77777777" w:rsidR="0007024F" w:rsidRDefault="00127A4E">
      <w:pPr>
        <w:spacing w:after="0"/>
        <w:rPr>
          <w:rFonts w:ascii="Times New Roman" w:hAnsi="Times New Roman"/>
          <w:sz w:val="22"/>
          <w:szCs w:val="22"/>
        </w:rPr>
      </w:pPr>
      <w:r>
        <w:rPr>
          <w:rFonts w:ascii="Times New Roman" w:hAnsi="Times New Roman"/>
          <w:sz w:val="22"/>
          <w:szCs w:val="22"/>
        </w:rPr>
        <w:t>The overall objective of the National Transport Strategy (2018-2030) is to develop a harmonised transport sector that is internationally compatible and integrated in the TEN-T system, that stimulates the economic and social development of the country, preserves the environment, and secures the needs of future generations. Some of the General Objectives of the Strategy are: Strengthen EU integration and promote regional cooperation and to contribute to the improvement of the economic sustainability at the national level. Regarding the infrastructure function the Strategy underlines the general specific objective: developing an integrated and multimodal infrastructure that is efficiently maintained and corresponds to the sector’s present and future capacity needs. More specific objectives are: to complete the SEETO/</w:t>
      </w:r>
      <w:proofErr w:type="spellStart"/>
      <w:r>
        <w:rPr>
          <w:rFonts w:ascii="Times New Roman" w:hAnsi="Times New Roman"/>
          <w:sz w:val="22"/>
          <w:szCs w:val="22"/>
        </w:rPr>
        <w:t>TeTC</w:t>
      </w:r>
      <w:proofErr w:type="spellEnd"/>
      <w:r>
        <w:rPr>
          <w:rFonts w:ascii="Times New Roman" w:hAnsi="Times New Roman"/>
          <w:sz w:val="22"/>
          <w:szCs w:val="22"/>
        </w:rPr>
        <w:t xml:space="preserve"> Core and Comprehensive Network passing through the national territory and upgrade the standards of the existing road and rail infrastructure sections to the modern technical and operational standards (Infrastructure function) and to reduce border crossing times and procedures and to improve the accessibility and quality of the national transport infrastructure and transport services. </w:t>
      </w:r>
    </w:p>
    <w:p w14:paraId="3D3B0863" w14:textId="77777777" w:rsidR="0007024F" w:rsidRDefault="0007024F">
      <w:pPr>
        <w:spacing w:after="0"/>
        <w:rPr>
          <w:rFonts w:ascii="Times New Roman" w:hAnsi="Times New Roman"/>
          <w:sz w:val="22"/>
          <w:szCs w:val="22"/>
        </w:rPr>
      </w:pPr>
    </w:p>
    <w:p w14:paraId="59E10BEA" w14:textId="2B74CFD0" w:rsidR="0007024F" w:rsidRDefault="00127A4E" w:rsidP="004D465A">
      <w:pPr>
        <w:spacing w:after="0"/>
        <w:rPr>
          <w:rFonts w:ascii="Times New Roman" w:hAnsi="Times New Roman"/>
          <w:sz w:val="22"/>
          <w:szCs w:val="22"/>
        </w:rPr>
      </w:pPr>
      <w:r>
        <w:rPr>
          <w:rFonts w:ascii="Times New Roman" w:hAnsi="Times New Roman"/>
          <w:sz w:val="22"/>
          <w:szCs w:val="22"/>
        </w:rPr>
        <w:t>The project proposal is submitted for financing under Policy objective 3 „A more connected Europe</w:t>
      </w:r>
      <w:r w:rsidR="004D465A">
        <w:rPr>
          <w:rFonts w:ascii="Times New Roman" w:hAnsi="Times New Roman"/>
          <w:sz w:val="22"/>
          <w:szCs w:val="22"/>
        </w:rPr>
        <w:t xml:space="preserve"> </w:t>
      </w:r>
      <w:r>
        <w:rPr>
          <w:rFonts w:ascii="Times New Roman" w:hAnsi="Times New Roman"/>
          <w:sz w:val="22"/>
          <w:szCs w:val="22"/>
        </w:rPr>
        <w:t xml:space="preserve">by enhancing </w:t>
      </w:r>
      <w:r w:rsidR="00E219AE">
        <w:rPr>
          <w:rFonts w:ascii="Times New Roman" w:hAnsi="Times New Roman"/>
          <w:sz w:val="22"/>
          <w:szCs w:val="22"/>
        </w:rPr>
        <w:t>mobility “</w:t>
      </w:r>
      <w:r>
        <w:rPr>
          <w:rFonts w:ascii="Times New Roman" w:hAnsi="Times New Roman"/>
          <w:sz w:val="22"/>
          <w:szCs w:val="22"/>
        </w:rPr>
        <w:t>, specific objective „Developing sustainable, climate resilient, intelligent and</w:t>
      </w:r>
      <w:r w:rsidR="004D465A">
        <w:rPr>
          <w:rFonts w:ascii="Times New Roman" w:hAnsi="Times New Roman"/>
          <w:sz w:val="22"/>
          <w:szCs w:val="22"/>
        </w:rPr>
        <w:t xml:space="preserve"> </w:t>
      </w:r>
      <w:r>
        <w:rPr>
          <w:rFonts w:ascii="Times New Roman" w:hAnsi="Times New Roman"/>
          <w:sz w:val="22"/>
          <w:szCs w:val="22"/>
        </w:rPr>
        <w:t>intermodal national, regional and local mobility, including improved access to TEN-T and cross-</w:t>
      </w:r>
      <w:r w:rsidR="004D465A">
        <w:rPr>
          <w:rFonts w:ascii="Times New Roman" w:hAnsi="Times New Roman"/>
          <w:sz w:val="22"/>
          <w:szCs w:val="22"/>
        </w:rPr>
        <w:t xml:space="preserve"> </w:t>
      </w:r>
      <w:r>
        <w:rPr>
          <w:rFonts w:ascii="Times New Roman" w:hAnsi="Times New Roman"/>
          <w:sz w:val="22"/>
          <w:szCs w:val="22"/>
        </w:rPr>
        <w:t xml:space="preserve">border </w:t>
      </w:r>
      <w:r w:rsidR="00E219AE">
        <w:rPr>
          <w:rFonts w:ascii="Times New Roman" w:hAnsi="Times New Roman"/>
          <w:sz w:val="22"/>
          <w:szCs w:val="22"/>
        </w:rPr>
        <w:t>mobility “</w:t>
      </w:r>
      <w:r>
        <w:rPr>
          <w:rFonts w:ascii="Times New Roman" w:hAnsi="Times New Roman"/>
          <w:sz w:val="22"/>
          <w:szCs w:val="22"/>
        </w:rPr>
        <w:t>. The common challenge of the programme area jointly tackling in our project is strengthening the regional connectivity and facilitating the increasing traffic of people by developing sustainable, climate resilient, intelligent and intermodal national, regional and local mobility, including improved access to TEN-T and cross- border mobility.</w:t>
      </w:r>
    </w:p>
    <w:p w14:paraId="2992E68D" w14:textId="77777777" w:rsidR="0007024F" w:rsidRDefault="0007024F" w:rsidP="004D465A">
      <w:pPr>
        <w:spacing w:after="0" w:line="247" w:lineRule="auto"/>
        <w:rPr>
          <w:rFonts w:ascii="Times New Roman" w:hAnsi="Times New Roman"/>
          <w:sz w:val="22"/>
          <w:szCs w:val="22"/>
        </w:rPr>
      </w:pPr>
    </w:p>
    <w:p w14:paraId="4BFF36B7" w14:textId="17DF2D96" w:rsidR="0007024F" w:rsidRDefault="00127A4E">
      <w:pPr>
        <w:spacing w:after="0" w:line="247" w:lineRule="auto"/>
        <w:rPr>
          <w:rFonts w:ascii="Times New Roman" w:hAnsi="Times New Roman"/>
          <w:sz w:val="22"/>
          <w:szCs w:val="22"/>
        </w:rPr>
      </w:pPr>
      <w:r>
        <w:rPr>
          <w:rFonts w:ascii="Times New Roman" w:hAnsi="Times New Roman"/>
          <w:sz w:val="22"/>
          <w:szCs w:val="22"/>
        </w:rPr>
        <w:t>The need for strengthening the regional connectivity and to facilitate the increasing traffic of people</w:t>
      </w:r>
      <w:r w:rsidR="004D465A">
        <w:rPr>
          <w:rFonts w:ascii="Times New Roman" w:hAnsi="Times New Roman"/>
          <w:sz w:val="22"/>
          <w:szCs w:val="22"/>
        </w:rPr>
        <w:t xml:space="preserve"> </w:t>
      </w:r>
      <w:r>
        <w:rPr>
          <w:rFonts w:ascii="Times New Roman" w:hAnsi="Times New Roman"/>
          <w:sz w:val="22"/>
          <w:szCs w:val="22"/>
        </w:rPr>
        <w:t>and goods between Bulgaria and North Macedonia has since long been on the agenda. The regional</w:t>
      </w:r>
      <w:r w:rsidR="004D465A">
        <w:rPr>
          <w:rFonts w:ascii="Times New Roman" w:hAnsi="Times New Roman"/>
          <w:sz w:val="22"/>
          <w:szCs w:val="22"/>
        </w:rPr>
        <w:t xml:space="preserve"> </w:t>
      </w:r>
      <w:r>
        <w:rPr>
          <w:rFonts w:ascii="Times New Roman" w:hAnsi="Times New Roman"/>
          <w:sz w:val="22"/>
          <w:szCs w:val="22"/>
        </w:rPr>
        <w:t xml:space="preserve">consultations in 2019 have clearly identified the BCCP </w:t>
      </w:r>
      <w:proofErr w:type="spellStart"/>
      <w:r>
        <w:rPr>
          <w:rFonts w:ascii="Times New Roman" w:hAnsi="Times New Roman"/>
          <w:sz w:val="22"/>
          <w:szCs w:val="22"/>
        </w:rPr>
        <w:t>Strumyani</w:t>
      </w:r>
      <w:proofErr w:type="spellEnd"/>
      <w:r>
        <w:rPr>
          <w:rFonts w:ascii="Times New Roman" w:hAnsi="Times New Roman"/>
          <w:sz w:val="22"/>
          <w:szCs w:val="22"/>
        </w:rPr>
        <w:t xml:space="preserve"> – </w:t>
      </w:r>
      <w:proofErr w:type="spellStart"/>
      <w:r>
        <w:rPr>
          <w:rFonts w:ascii="Times New Roman" w:hAnsi="Times New Roman"/>
          <w:sz w:val="22"/>
          <w:szCs w:val="22"/>
        </w:rPr>
        <w:t>Berovo</w:t>
      </w:r>
      <w:proofErr w:type="spellEnd"/>
      <w:r>
        <w:rPr>
          <w:rFonts w:ascii="Times New Roman" w:hAnsi="Times New Roman"/>
          <w:sz w:val="22"/>
          <w:szCs w:val="22"/>
        </w:rPr>
        <w:t xml:space="preserve"> as an investment of strategic importance to be supported by the Interreg VI-A IPA Bulgaria-North Macedonia programme, taking into account the gradual expansion of the socio-economic </w:t>
      </w:r>
      <w:r w:rsidR="00E219AE">
        <w:rPr>
          <w:rFonts w:ascii="Times New Roman" w:hAnsi="Times New Roman"/>
          <w:sz w:val="22"/>
          <w:szCs w:val="22"/>
        </w:rPr>
        <w:t>interlinkages</w:t>
      </w:r>
      <w:r>
        <w:rPr>
          <w:rFonts w:ascii="Times New Roman" w:hAnsi="Times New Roman"/>
          <w:sz w:val="22"/>
          <w:szCs w:val="22"/>
        </w:rPr>
        <w:t xml:space="preserve"> between the two countries due to positive prospects of the EU enlargement. On 14 June 1999 in Skopje, an agreement between the </w:t>
      </w:r>
      <w:r>
        <w:rPr>
          <w:rFonts w:ascii="Times New Roman" w:hAnsi="Times New Roman"/>
          <w:sz w:val="22"/>
          <w:szCs w:val="22"/>
        </w:rPr>
        <w:lastRenderedPageBreak/>
        <w:t xml:space="preserve">Government of the Macedonia and the Government of Bulgaria for opening new international road Border Crossing Check Points (BCCP) </w:t>
      </w:r>
      <w:proofErr w:type="spellStart"/>
      <w:r>
        <w:rPr>
          <w:rFonts w:ascii="Times New Roman" w:hAnsi="Times New Roman"/>
          <w:sz w:val="22"/>
          <w:szCs w:val="22"/>
        </w:rPr>
        <w:t>Strumyani</w:t>
      </w:r>
      <w:proofErr w:type="spellEnd"/>
      <w:r>
        <w:rPr>
          <w:rFonts w:ascii="Times New Roman" w:hAnsi="Times New Roman"/>
          <w:sz w:val="22"/>
          <w:szCs w:val="22"/>
        </w:rPr>
        <w:t xml:space="preserve"> – </w:t>
      </w:r>
      <w:proofErr w:type="spellStart"/>
      <w:r>
        <w:rPr>
          <w:rFonts w:ascii="Times New Roman" w:hAnsi="Times New Roman"/>
          <w:sz w:val="22"/>
          <w:szCs w:val="22"/>
        </w:rPr>
        <w:t>Berovo</w:t>
      </w:r>
      <w:proofErr w:type="spellEnd"/>
      <w:r>
        <w:rPr>
          <w:rFonts w:ascii="Times New Roman" w:hAnsi="Times New Roman"/>
          <w:sz w:val="22"/>
          <w:szCs w:val="22"/>
        </w:rPr>
        <w:t xml:space="preserve"> and </w:t>
      </w:r>
      <w:proofErr w:type="spellStart"/>
      <w:r>
        <w:rPr>
          <w:rFonts w:ascii="Times New Roman" w:hAnsi="Times New Roman"/>
          <w:sz w:val="22"/>
          <w:szCs w:val="22"/>
        </w:rPr>
        <w:t>Simitli</w:t>
      </w:r>
      <w:proofErr w:type="spellEnd"/>
      <w:r>
        <w:rPr>
          <w:rFonts w:ascii="Times New Roman" w:hAnsi="Times New Roman"/>
          <w:sz w:val="22"/>
          <w:szCs w:val="22"/>
        </w:rPr>
        <w:t xml:space="preserve"> – </w:t>
      </w:r>
      <w:proofErr w:type="spellStart"/>
      <w:r>
        <w:rPr>
          <w:rFonts w:ascii="Times New Roman" w:hAnsi="Times New Roman"/>
          <w:sz w:val="22"/>
          <w:szCs w:val="22"/>
        </w:rPr>
        <w:t>Pehchevo</w:t>
      </w:r>
      <w:proofErr w:type="spellEnd"/>
      <w:r>
        <w:rPr>
          <w:rFonts w:ascii="Times New Roman" w:hAnsi="Times New Roman"/>
          <w:sz w:val="22"/>
          <w:szCs w:val="22"/>
        </w:rPr>
        <w:t xml:space="preserve"> was signed.</w:t>
      </w:r>
    </w:p>
    <w:p w14:paraId="18E2E3B9" w14:textId="77777777" w:rsidR="0007024F" w:rsidRDefault="0007024F">
      <w:pPr>
        <w:spacing w:after="0" w:line="247" w:lineRule="auto"/>
        <w:rPr>
          <w:rFonts w:ascii="Times New Roman" w:hAnsi="Times New Roman"/>
          <w:sz w:val="22"/>
          <w:szCs w:val="22"/>
        </w:rPr>
      </w:pPr>
    </w:p>
    <w:p w14:paraId="69A6F8B0" w14:textId="076BE378" w:rsidR="0007024F" w:rsidRDefault="00127A4E">
      <w:pPr>
        <w:spacing w:after="0" w:line="247" w:lineRule="auto"/>
        <w:rPr>
          <w:rFonts w:ascii="Times New Roman" w:hAnsi="Times New Roman"/>
          <w:sz w:val="22"/>
          <w:szCs w:val="22"/>
        </w:rPr>
      </w:pPr>
      <w:r>
        <w:rPr>
          <w:rFonts w:ascii="Times New Roman" w:hAnsi="Times New Roman"/>
          <w:sz w:val="22"/>
          <w:szCs w:val="22"/>
        </w:rPr>
        <w:t xml:space="preserve">Having a new BCCP built and operated on both sides of the border the expected changes will contribute </w:t>
      </w:r>
      <w:r w:rsidR="00E219AE">
        <w:rPr>
          <w:rFonts w:ascii="Times New Roman" w:hAnsi="Times New Roman"/>
          <w:sz w:val="22"/>
          <w:szCs w:val="22"/>
        </w:rPr>
        <w:t>to increasing</w:t>
      </w:r>
      <w:r>
        <w:rPr>
          <w:rFonts w:ascii="Times New Roman" w:hAnsi="Times New Roman"/>
          <w:sz w:val="22"/>
          <w:szCs w:val="22"/>
        </w:rPr>
        <w:t xml:space="preserve"> the traffic of people and goods between the two countries; strengthening communication links between the two countries and improving and extending access to core TEN-T, including the connection with Corridors IV and VIII, which is to improve regional connectivity and boost the economic growth of the programme area.</w:t>
      </w:r>
    </w:p>
    <w:p w14:paraId="459F75AB" w14:textId="77777777" w:rsidR="0007024F" w:rsidRDefault="0007024F">
      <w:pPr>
        <w:spacing w:after="0" w:line="247" w:lineRule="auto"/>
        <w:rPr>
          <w:rFonts w:ascii="Times New Roman" w:hAnsi="Times New Roman"/>
          <w:sz w:val="22"/>
          <w:szCs w:val="22"/>
        </w:rPr>
      </w:pPr>
    </w:p>
    <w:p w14:paraId="4F6D5A0C" w14:textId="06608C23" w:rsidR="0007024F" w:rsidRDefault="00127A4E">
      <w:pPr>
        <w:spacing w:after="0" w:line="247" w:lineRule="auto"/>
        <w:rPr>
          <w:rFonts w:ascii="Times New Roman" w:hAnsi="Times New Roman"/>
          <w:sz w:val="22"/>
          <w:szCs w:val="22"/>
        </w:rPr>
      </w:pPr>
      <w:r>
        <w:rPr>
          <w:rFonts w:ascii="Times New Roman" w:hAnsi="Times New Roman"/>
          <w:sz w:val="22"/>
          <w:szCs w:val="22"/>
        </w:rPr>
        <w:t>The project output is BCCP facility constructed for the Bulgarian part and BCCP reconstructed</w:t>
      </w:r>
      <w:r w:rsidR="004D465A">
        <w:rPr>
          <w:rFonts w:ascii="Times New Roman" w:hAnsi="Times New Roman"/>
          <w:sz w:val="22"/>
          <w:szCs w:val="22"/>
        </w:rPr>
        <w:t xml:space="preserve"> </w:t>
      </w:r>
      <w:r>
        <w:rPr>
          <w:rFonts w:ascii="Times New Roman" w:hAnsi="Times New Roman"/>
          <w:sz w:val="22"/>
          <w:szCs w:val="22"/>
        </w:rPr>
        <w:t>/upgraded on the part of the Republic of North Macedonia. Main target groups who will benefit from</w:t>
      </w:r>
      <w:r w:rsidR="004D465A">
        <w:rPr>
          <w:rFonts w:ascii="Times New Roman" w:hAnsi="Times New Roman"/>
          <w:sz w:val="22"/>
          <w:szCs w:val="22"/>
        </w:rPr>
        <w:t xml:space="preserve"> </w:t>
      </w:r>
      <w:r>
        <w:rPr>
          <w:rFonts w:ascii="Times New Roman" w:hAnsi="Times New Roman"/>
          <w:sz w:val="22"/>
          <w:szCs w:val="22"/>
        </w:rPr>
        <w:t>the project are the residents, visitors, and businesses in the CBC area. А functioning BCCP requires the infrastructures on both sides of the border to be built and fully put into operation at the same time. Applying a strong cross-border partnership approach is the only possible one to ensure mutual performance and completion of project activities by both partners for successfully achieving the set project objective.</w:t>
      </w:r>
    </w:p>
    <w:p w14:paraId="31244B29" w14:textId="77777777" w:rsidR="0007024F" w:rsidRDefault="0007024F">
      <w:pPr>
        <w:spacing w:after="0" w:line="247" w:lineRule="auto"/>
        <w:rPr>
          <w:rFonts w:ascii="Times New Roman" w:hAnsi="Times New Roman"/>
          <w:sz w:val="22"/>
          <w:szCs w:val="22"/>
        </w:rPr>
      </w:pPr>
    </w:p>
    <w:p w14:paraId="450A7321" w14:textId="5CF97580" w:rsidR="0007024F" w:rsidRDefault="00127A4E">
      <w:pPr>
        <w:spacing w:after="0" w:line="247" w:lineRule="auto"/>
        <w:rPr>
          <w:rFonts w:ascii="Times New Roman" w:hAnsi="Times New Roman"/>
          <w:sz w:val="22"/>
          <w:szCs w:val="22"/>
        </w:rPr>
      </w:pPr>
      <w:r>
        <w:rPr>
          <w:rFonts w:ascii="Times New Roman" w:hAnsi="Times New Roman"/>
          <w:sz w:val="22"/>
          <w:szCs w:val="22"/>
        </w:rPr>
        <w:t xml:space="preserve"> The project will </w:t>
      </w:r>
      <w:r w:rsidR="00E219AE">
        <w:rPr>
          <w:rFonts w:ascii="Times New Roman" w:hAnsi="Times New Roman"/>
          <w:sz w:val="22"/>
          <w:szCs w:val="22"/>
        </w:rPr>
        <w:t>also contribute</w:t>
      </w:r>
      <w:r>
        <w:rPr>
          <w:rFonts w:ascii="Times New Roman" w:hAnsi="Times New Roman"/>
          <w:sz w:val="22"/>
          <w:szCs w:val="22"/>
        </w:rPr>
        <w:t xml:space="preserve"> to the </w:t>
      </w:r>
      <w:r w:rsidR="00E219AE">
        <w:rPr>
          <w:rFonts w:ascii="Times New Roman" w:hAnsi="Times New Roman"/>
          <w:sz w:val="22"/>
          <w:szCs w:val="22"/>
        </w:rPr>
        <w:t>EU external</w:t>
      </w:r>
      <w:r>
        <w:rPr>
          <w:rFonts w:ascii="Times New Roman" w:hAnsi="Times New Roman"/>
          <w:sz w:val="22"/>
          <w:szCs w:val="22"/>
        </w:rPr>
        <w:t xml:space="preserve"> policy by adhering to most up-to-date standards in safeguarding security and border control by establishment of new sustainable climate resilient, intelligent, and intermodal national, regional and local mobility infrastructure to strengthening the regional connectivity and support business activities, including improved access to TEN-T and other important connections.</w:t>
      </w:r>
    </w:p>
    <w:p w14:paraId="3CEF9680" w14:textId="77777777" w:rsidR="0007024F" w:rsidRDefault="0007024F">
      <w:pPr>
        <w:spacing w:after="0"/>
        <w:rPr>
          <w:rFonts w:ascii="Times New Roman" w:hAnsi="Times New Roman"/>
          <w:sz w:val="22"/>
          <w:szCs w:val="22"/>
        </w:rPr>
      </w:pPr>
    </w:p>
    <w:p w14:paraId="4E6D7A5A" w14:textId="77777777" w:rsidR="0007024F" w:rsidRDefault="00127A4E">
      <w:pPr>
        <w:ind w:right="-2"/>
        <w:rPr>
          <w:rFonts w:ascii="Times New Roman" w:hAnsi="Times New Roman"/>
          <w:sz w:val="22"/>
          <w:szCs w:val="22"/>
        </w:rPr>
      </w:pPr>
      <w:r>
        <w:rPr>
          <w:rFonts w:ascii="Times New Roman" w:hAnsi="Times New Roman"/>
          <w:sz w:val="22"/>
          <w:szCs w:val="22"/>
        </w:rPr>
        <w:t xml:space="preserve">The Customs Administration is a state administration authority within the Ministry of Finance with a status of a separate legal entity. The Customs Administration carries out its powers throughout the entire territory of the country. It carries out the activities that are under its competence in accordance with the Law on Customs Administration, the Customs Law, the Customs Tariff Law, the Law on Customs Measures for Protection of Intellectual Property Rights, the Law on Excises, the Law on Tax Procedures and other laws governing the importation, exportation and transit of goods, as well as for the performance of all other activities that are vested under its competence with other laws. </w:t>
      </w:r>
    </w:p>
    <w:p w14:paraId="58FB9DF8" w14:textId="77777777" w:rsidR="0007024F" w:rsidRDefault="00127A4E">
      <w:pPr>
        <w:ind w:right="-2"/>
        <w:rPr>
          <w:rFonts w:ascii="Times New Roman" w:hAnsi="Times New Roman"/>
          <w:sz w:val="22"/>
          <w:szCs w:val="22"/>
        </w:rPr>
      </w:pPr>
      <w:r>
        <w:rPr>
          <w:rFonts w:ascii="Times New Roman" w:hAnsi="Times New Roman"/>
          <w:sz w:val="22"/>
          <w:szCs w:val="22"/>
        </w:rPr>
        <w:t>The main responsibilities of the Customs Administration are the following:</w:t>
      </w:r>
    </w:p>
    <w:p w14:paraId="47E813AD"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customs supervision;</w:t>
      </w:r>
    </w:p>
    <w:p w14:paraId="2D47B2DC"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customs control;</w:t>
      </w:r>
    </w:p>
    <w:p w14:paraId="32A561B0"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Customs clearance of goods;</w:t>
      </w:r>
    </w:p>
    <w:p w14:paraId="0DA16685"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customs control, investigation and intelligence measures for the purpose of prevention, detection and investigation of customs offences and crimes;</w:t>
      </w:r>
    </w:p>
    <w:p w14:paraId="03E6BE08"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initiate a procedure for customs and other offences, as well as for crimes determined by law and to collect mandatory fines;</w:t>
      </w:r>
    </w:p>
    <w:p w14:paraId="4614F7D9"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calculate and collect or repay the import and export duties, taxes and other public levies on importation, exportation or transit of goods, as well as to conduct forcible collection of the above in accordance with law;</w:t>
      </w:r>
    </w:p>
    <w:p w14:paraId="2D75097D"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the customs-administrative procedure in first degree;</w:t>
      </w:r>
    </w:p>
    <w:p w14:paraId="7DF9C916"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monitor and control movements of excise goods;</w:t>
      </w:r>
    </w:p>
    <w:p w14:paraId="72A45889"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the control of the entering and exiting of cash in domestic and foreign currencies, cheques and monetary gold;</w:t>
      </w:r>
    </w:p>
    <w:p w14:paraId="25E5703D"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the control of the importation, exportation and transit of goods for which special measures are prescribed in the interest of security and public morality, protection of people’s health and lives, animals and plants, protection of the living environment, protection of items of temporary protection or cultural heritage or natural rarities, protection of copyright and other related rights and industrial property rights, as well as other measures of commercial policy prescribed by law;</w:t>
      </w:r>
    </w:p>
    <w:p w14:paraId="6E0FA05C"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 xml:space="preserve">To organise the customs information system and provide data on imports and exports for statistical purposes; </w:t>
      </w:r>
    </w:p>
    <w:p w14:paraId="6887DF35"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organise and conduct control of the professional liability of the employees;</w:t>
      </w:r>
    </w:p>
    <w:p w14:paraId="3F8AE2C6"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lastRenderedPageBreak/>
        <w:t>To draft legislation in the area of Customs competence;</w:t>
      </w:r>
    </w:p>
    <w:p w14:paraId="4E2A9CB2"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organise and carry out training, testing of the knowledge and professional skills of Customs officers, as well as human resource management;</w:t>
      </w:r>
    </w:p>
    <w:p w14:paraId="53CA3F8A"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give expert assistance for the application of the customs regulations for the purpose of which it organises seminars and public platforms with the right for compensation;</w:t>
      </w:r>
    </w:p>
    <w:p w14:paraId="10F47A09"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storage and safe-keeping of goods, as well as procedure of sale of confiscated, abandoned or discovered goods; </w:t>
      </w:r>
    </w:p>
    <w:p w14:paraId="0DFA6A23"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carry out monitoring of customs goods with compensation of costs;</w:t>
      </w:r>
    </w:p>
    <w:p w14:paraId="5AC68366"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chemical-technological examination of goods with compensation of costs;</w:t>
      </w:r>
    </w:p>
    <w:p w14:paraId="0CABD339"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cooperate with other state authorities;</w:t>
      </w:r>
    </w:p>
    <w:p w14:paraId="36D2EC27"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cooperate with foreign customs administrations and international organisations;</w:t>
      </w:r>
    </w:p>
    <w:p w14:paraId="54BA61B8"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exercise other powers prescribed by the Law on Customs Administration and other laws;</w:t>
      </w:r>
    </w:p>
    <w:p w14:paraId="0D43A99C"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Management and maintenance of the premises at the road Border Crossing Points.</w:t>
      </w:r>
    </w:p>
    <w:p w14:paraId="77CE905F" w14:textId="77777777" w:rsidR="0007024F" w:rsidRDefault="00127A4E">
      <w:pPr>
        <w:pStyle w:val="Heading2"/>
      </w:pPr>
      <w:bookmarkStart w:id="4" w:name="_Toc67320739"/>
      <w:r>
        <w:t>Current situation in the sector</w:t>
      </w:r>
      <w:bookmarkEnd w:id="4"/>
    </w:p>
    <w:p w14:paraId="122315B0" w14:textId="06521B5F" w:rsidR="0007024F" w:rsidRDefault="00127A4E" w:rsidP="004D465A">
      <w:pPr>
        <w:spacing w:after="0"/>
        <w:rPr>
          <w:rFonts w:ascii="Times New Roman" w:hAnsi="Times New Roman"/>
          <w:sz w:val="22"/>
          <w:szCs w:val="22"/>
        </w:rPr>
      </w:pPr>
      <w:r>
        <w:rPr>
          <w:rFonts w:ascii="Times New Roman" w:hAnsi="Times New Roman"/>
          <w:sz w:val="22"/>
          <w:szCs w:val="22"/>
        </w:rPr>
        <w:t xml:space="preserve"> CARNM assumed the responsibility for management and maintenance of the premises at the road Border Crossing Check Points (Amendments of the Law on the Customs Administration published in the “Official Gazette” No. 103/08 of 19 August 2008) cross the territory of the Republic of North Macedonia in 2008. Since that time enabled CARNM took over the management, administration and maintenance of the premises located at the road Border Crossing Check Points.</w:t>
      </w:r>
    </w:p>
    <w:p w14:paraId="6703A8F2" w14:textId="77777777" w:rsidR="0007024F" w:rsidRDefault="0007024F">
      <w:pPr>
        <w:spacing w:after="0" w:line="247" w:lineRule="auto"/>
        <w:rPr>
          <w:rFonts w:ascii="Times New Roman" w:hAnsi="Times New Roman"/>
          <w:sz w:val="22"/>
          <w:szCs w:val="22"/>
        </w:rPr>
      </w:pPr>
    </w:p>
    <w:p w14:paraId="70F4A2A5" w14:textId="46373CF6" w:rsidR="0007024F" w:rsidRDefault="00127A4E">
      <w:pPr>
        <w:spacing w:after="0" w:line="247" w:lineRule="auto"/>
        <w:rPr>
          <w:rFonts w:ascii="Times New Roman" w:hAnsi="Times New Roman"/>
          <w:sz w:val="22"/>
          <w:szCs w:val="22"/>
        </w:rPr>
      </w:pPr>
      <w:r>
        <w:rPr>
          <w:rFonts w:ascii="Times New Roman" w:hAnsi="Times New Roman"/>
          <w:sz w:val="22"/>
          <w:szCs w:val="22"/>
        </w:rPr>
        <w:t xml:space="preserve">Regarding its role in managing the border crossing facilities, CARNM ensures allocation of appropriate </w:t>
      </w:r>
      <w:r w:rsidR="00E219AE">
        <w:rPr>
          <w:rFonts w:ascii="Times New Roman" w:hAnsi="Times New Roman"/>
          <w:sz w:val="22"/>
          <w:szCs w:val="22"/>
        </w:rPr>
        <w:t>funds for</w:t>
      </w:r>
      <w:r>
        <w:rPr>
          <w:rFonts w:ascii="Times New Roman" w:hAnsi="Times New Roman"/>
          <w:sz w:val="22"/>
          <w:szCs w:val="22"/>
        </w:rPr>
        <w:t xml:space="preserve"> maintenance on a yearly </w:t>
      </w:r>
      <w:r w:rsidR="00E219AE">
        <w:rPr>
          <w:rFonts w:ascii="Times New Roman" w:hAnsi="Times New Roman"/>
          <w:sz w:val="22"/>
          <w:szCs w:val="22"/>
        </w:rPr>
        <w:t>basis.</w:t>
      </w:r>
      <w:r>
        <w:rPr>
          <w:rFonts w:ascii="Times New Roman" w:hAnsi="Times New Roman"/>
          <w:sz w:val="22"/>
          <w:szCs w:val="22"/>
        </w:rPr>
        <w:t xml:space="preserve"> The CARNM has committed and will continue to commit in the future appropriate funding (operation and maintenance) to maintain the border crossing facilities established under the project.</w:t>
      </w:r>
    </w:p>
    <w:p w14:paraId="741087C7" w14:textId="77777777" w:rsidR="0007024F" w:rsidRDefault="0007024F">
      <w:pPr>
        <w:spacing w:after="0"/>
        <w:rPr>
          <w:rFonts w:ascii="Times New Roman" w:hAnsi="Times New Roman"/>
          <w:sz w:val="22"/>
          <w:szCs w:val="22"/>
        </w:rPr>
      </w:pPr>
    </w:p>
    <w:p w14:paraId="3935D69A" w14:textId="77777777" w:rsidR="0007024F" w:rsidRDefault="00127A4E">
      <w:pPr>
        <w:spacing w:after="0"/>
        <w:rPr>
          <w:rFonts w:ascii="Times New Roman" w:hAnsi="Times New Roman"/>
          <w:sz w:val="22"/>
          <w:szCs w:val="22"/>
          <w:u w:val="single"/>
        </w:rPr>
      </w:pPr>
      <w:r>
        <w:rPr>
          <w:rFonts w:ascii="Times New Roman" w:hAnsi="Times New Roman"/>
          <w:sz w:val="22"/>
          <w:szCs w:val="22"/>
          <w:u w:val="single"/>
        </w:rPr>
        <w:t xml:space="preserve">Road Border Crossing Checking point </w:t>
      </w:r>
      <w:proofErr w:type="spellStart"/>
      <w:r>
        <w:rPr>
          <w:rFonts w:ascii="Times New Roman" w:hAnsi="Times New Roman"/>
          <w:sz w:val="22"/>
          <w:szCs w:val="22"/>
          <w:u w:val="single"/>
        </w:rPr>
        <w:t>Klepalo</w:t>
      </w:r>
      <w:proofErr w:type="spellEnd"/>
    </w:p>
    <w:p w14:paraId="6176AEC8" w14:textId="77777777" w:rsidR="0007024F" w:rsidRDefault="0007024F">
      <w:pPr>
        <w:spacing w:after="0"/>
        <w:rPr>
          <w:rFonts w:ascii="Times New Roman" w:hAnsi="Times New Roman"/>
          <w:sz w:val="22"/>
          <w:szCs w:val="22"/>
        </w:rPr>
      </w:pPr>
    </w:p>
    <w:p w14:paraId="211C0A85" w14:textId="2F045D25" w:rsidR="0007024F" w:rsidRDefault="00127A4E">
      <w:pPr>
        <w:spacing w:after="0"/>
      </w:pPr>
      <w:r>
        <w:rPr>
          <w:rFonts w:ascii="Times New Roman" w:hAnsi="Times New Roman"/>
          <w:sz w:val="22"/>
          <w:szCs w:val="22"/>
        </w:rPr>
        <w:t xml:space="preserve">The enhanced EU enlargement process has called on the Republic of Bulgaria and the Republic of North Macedonia to rise to the challenge of facilitating the annually increasing traffic of freight and movement of people between the two countries. The need for opening a new border crossing checkpoint BCCP between the two countries has been recognized back in 1999 when the Republic of Bulgaria and the Republic of North Macedonia have signed a Bilateral Agreement for establishment of a new BCCP at the village of </w:t>
      </w:r>
      <w:proofErr w:type="spellStart"/>
      <w:r>
        <w:rPr>
          <w:rFonts w:ascii="Times New Roman" w:hAnsi="Times New Roman"/>
          <w:sz w:val="22"/>
          <w:szCs w:val="22"/>
        </w:rPr>
        <w:t>Klepalo</w:t>
      </w:r>
      <w:proofErr w:type="spellEnd"/>
      <w:r>
        <w:rPr>
          <w:rFonts w:ascii="Times New Roman" w:hAnsi="Times New Roman"/>
          <w:sz w:val="22"/>
          <w:szCs w:val="22"/>
        </w:rPr>
        <w:t xml:space="preserve"> connecting the municipalities of </w:t>
      </w:r>
      <w:proofErr w:type="spellStart"/>
      <w:r>
        <w:rPr>
          <w:rFonts w:ascii="Times New Roman" w:hAnsi="Times New Roman"/>
          <w:sz w:val="22"/>
          <w:szCs w:val="22"/>
        </w:rPr>
        <w:t>Strumyani</w:t>
      </w:r>
      <w:proofErr w:type="spellEnd"/>
      <w:r>
        <w:rPr>
          <w:rFonts w:ascii="Times New Roman" w:hAnsi="Times New Roman"/>
          <w:sz w:val="22"/>
          <w:szCs w:val="22"/>
        </w:rPr>
        <w:t xml:space="preserve"> (Republic of Bulgaria) and </w:t>
      </w:r>
      <w:proofErr w:type="spellStart"/>
      <w:r>
        <w:rPr>
          <w:rFonts w:ascii="Times New Roman" w:hAnsi="Times New Roman"/>
          <w:sz w:val="22"/>
          <w:szCs w:val="22"/>
        </w:rPr>
        <w:t>Berovo</w:t>
      </w:r>
      <w:proofErr w:type="spellEnd"/>
      <w:r>
        <w:rPr>
          <w:rFonts w:ascii="Times New Roman" w:hAnsi="Times New Roman"/>
          <w:sz w:val="22"/>
          <w:szCs w:val="22"/>
        </w:rPr>
        <w:t xml:space="preserve"> (Republic of North Macedonia).The new BCCP will facilitate the flows of people and services, between the neighbouring municipalities areas and wider in the region.  The BCCP </w:t>
      </w:r>
      <w:proofErr w:type="spellStart"/>
      <w:r>
        <w:rPr>
          <w:rFonts w:ascii="Times New Roman" w:hAnsi="Times New Roman"/>
          <w:sz w:val="22"/>
          <w:szCs w:val="22"/>
        </w:rPr>
        <w:t>Klepalo</w:t>
      </w:r>
      <w:proofErr w:type="spellEnd"/>
      <w:r>
        <w:rPr>
          <w:rFonts w:ascii="Times New Roman" w:hAnsi="Times New Roman"/>
          <w:sz w:val="22"/>
          <w:szCs w:val="22"/>
        </w:rPr>
        <w:t xml:space="preserve"> aims to enhance regional connectivity and stimulate the economic growth on both sides within the CBC area</w:t>
      </w:r>
      <w:r w:rsidR="004D465A">
        <w:rPr>
          <w:rFonts w:ascii="Times New Roman" w:hAnsi="Times New Roman"/>
          <w:sz w:val="22"/>
          <w:szCs w:val="22"/>
        </w:rPr>
        <w:t>.</w:t>
      </w:r>
    </w:p>
    <w:p w14:paraId="4BCC5E51" w14:textId="77777777" w:rsidR="0007024F" w:rsidRDefault="0007024F">
      <w:pPr>
        <w:spacing w:after="0"/>
        <w:rPr>
          <w:rFonts w:ascii="Times New Roman" w:hAnsi="Times New Roman"/>
          <w:sz w:val="22"/>
          <w:szCs w:val="22"/>
        </w:rPr>
      </w:pPr>
    </w:p>
    <w:p w14:paraId="7A4B26A2" w14:textId="48144485" w:rsidR="0007024F" w:rsidRDefault="00127A4E">
      <w:pPr>
        <w:spacing w:after="0"/>
        <w:rPr>
          <w:rFonts w:ascii="Times New Roman" w:hAnsi="Times New Roman"/>
          <w:sz w:val="22"/>
          <w:szCs w:val="22"/>
        </w:rPr>
      </w:pPr>
      <w:r>
        <w:rPr>
          <w:rFonts w:ascii="Times New Roman" w:hAnsi="Times New Roman"/>
          <w:sz w:val="22"/>
          <w:szCs w:val="22"/>
          <w:lang w:val="en-US"/>
        </w:rPr>
        <w:t xml:space="preserve">The </w:t>
      </w:r>
      <w:r>
        <w:rPr>
          <w:rFonts w:ascii="Times New Roman" w:hAnsi="Times New Roman"/>
          <w:sz w:val="22"/>
          <w:szCs w:val="22"/>
        </w:rPr>
        <w:t xml:space="preserve">BCCP </w:t>
      </w:r>
      <w:proofErr w:type="spellStart"/>
      <w:r>
        <w:rPr>
          <w:rFonts w:ascii="Times New Roman" w:hAnsi="Times New Roman"/>
          <w:sz w:val="22"/>
          <w:szCs w:val="22"/>
        </w:rPr>
        <w:t>Klepalo</w:t>
      </w:r>
      <w:proofErr w:type="spellEnd"/>
      <w:r>
        <w:rPr>
          <w:rFonts w:ascii="Times New Roman" w:hAnsi="Times New Roman"/>
          <w:sz w:val="22"/>
          <w:szCs w:val="22"/>
        </w:rPr>
        <w:t xml:space="preserve"> is located at </w:t>
      </w:r>
      <w:r w:rsidR="00E219AE">
        <w:rPr>
          <w:rFonts w:ascii="Times New Roman" w:hAnsi="Times New Roman"/>
          <w:sz w:val="22"/>
          <w:szCs w:val="22"/>
        </w:rPr>
        <w:t>road P</w:t>
      </w:r>
      <w:r>
        <w:rPr>
          <w:rFonts w:ascii="Times New Roman" w:hAnsi="Times New Roman"/>
          <w:sz w:val="22"/>
          <w:szCs w:val="22"/>
        </w:rPr>
        <w:t xml:space="preserve">524 that passes by the </w:t>
      </w:r>
      <w:proofErr w:type="spellStart"/>
      <w:r>
        <w:rPr>
          <w:rFonts w:ascii="Times New Roman" w:hAnsi="Times New Roman"/>
          <w:sz w:val="22"/>
          <w:szCs w:val="22"/>
        </w:rPr>
        <w:t>Berovo</w:t>
      </w:r>
      <w:proofErr w:type="spellEnd"/>
      <w:r>
        <w:rPr>
          <w:rFonts w:ascii="Times New Roman" w:hAnsi="Times New Roman"/>
          <w:sz w:val="22"/>
          <w:szCs w:val="22"/>
        </w:rPr>
        <w:t xml:space="preserve"> Lake. This strategic location holds significance as it is poised to influence local rural tourism activities positively. Also, it would create the potential to attract a greater number of tourists to the region, fostering growth in both North Macedonia and Bulgaria. </w:t>
      </w:r>
    </w:p>
    <w:p w14:paraId="3016138E" w14:textId="77777777" w:rsidR="0007024F" w:rsidRDefault="0007024F">
      <w:pPr>
        <w:spacing w:after="0"/>
        <w:rPr>
          <w:rFonts w:ascii="Times New Roman" w:hAnsi="Times New Roman"/>
          <w:sz w:val="22"/>
          <w:szCs w:val="22"/>
        </w:rPr>
      </w:pPr>
    </w:p>
    <w:p w14:paraId="59F90E6B" w14:textId="77777777" w:rsidR="0007024F" w:rsidRDefault="00127A4E">
      <w:pPr>
        <w:spacing w:after="0"/>
        <w:rPr>
          <w:rFonts w:ascii="Times New Roman" w:hAnsi="Times New Roman"/>
          <w:sz w:val="22"/>
          <w:szCs w:val="22"/>
        </w:rPr>
      </w:pPr>
      <w:r>
        <w:rPr>
          <w:rFonts w:ascii="Times New Roman" w:hAnsi="Times New Roman"/>
          <w:sz w:val="22"/>
          <w:szCs w:val="22"/>
        </w:rPr>
        <w:t>At present on site there are several facilities, built in the 1990’s, located on the Multi-Lane Zone. There are two entry (inbound) and two exit (outbound) lanes with the possibility of expansion. The administrative building is placed on the exit side, 7 meters from the first lane. The canopy covers all lanes and the aboveground weighbridge for heavy vehicles. There are five cabins for customs and passport control. Other facilities include a 50 ton electronic aboveground weighbridge, one channel for inspecting heavy vehicles, one 10 meter high flagpole on the exit side, 5 barriers (one for each of the exit and entry lanes one at the scale, a vehicle disinfection pit on the entry side, canine house, transformer (electrical), public toilet, fountain and a tap, inspection rooms, parking, as well as places for duty-free shop and customs agents.</w:t>
      </w:r>
    </w:p>
    <w:p w14:paraId="42AB04EC" w14:textId="77777777" w:rsidR="0007024F" w:rsidRDefault="0007024F">
      <w:pPr>
        <w:spacing w:after="0"/>
        <w:rPr>
          <w:rFonts w:ascii="Times New Roman" w:hAnsi="Times New Roman"/>
          <w:sz w:val="22"/>
          <w:szCs w:val="22"/>
        </w:rPr>
      </w:pPr>
    </w:p>
    <w:p w14:paraId="35E8BAB6" w14:textId="77777777" w:rsidR="0007024F" w:rsidRDefault="00127A4E">
      <w:pPr>
        <w:spacing w:after="0"/>
      </w:pPr>
      <w:r>
        <w:rPr>
          <w:rFonts w:ascii="Times New Roman" w:hAnsi="Times New Roman"/>
          <w:sz w:val="22"/>
          <w:szCs w:val="22"/>
        </w:rPr>
        <w:t xml:space="preserve">The administrative building - has two integral but functionally divided units –for the Ministry of the Interior and the Customs Administration. The detailed description of the lay-out of the building will be </w:t>
      </w:r>
      <w:r>
        <w:rPr>
          <w:rFonts w:ascii="Times New Roman" w:hAnsi="Times New Roman"/>
          <w:sz w:val="22"/>
          <w:szCs w:val="22"/>
        </w:rPr>
        <w:lastRenderedPageBreak/>
        <w:t xml:space="preserve">shared to the contractor </w:t>
      </w:r>
      <w:r>
        <w:rPr>
          <w:rFonts w:ascii="Times New Roman" w:hAnsi="Times New Roman"/>
          <w:sz w:val="22"/>
          <w:szCs w:val="22"/>
          <w:lang w:val="en-US"/>
        </w:rPr>
        <w:t>if needed</w:t>
      </w:r>
      <w:r>
        <w:rPr>
          <w:rFonts w:ascii="Times New Roman" w:hAnsi="Times New Roman"/>
          <w:sz w:val="22"/>
          <w:szCs w:val="22"/>
        </w:rPr>
        <w:t>. Adjacent to the building there is a garage equipped electromechanical lift for inspection of passenger motor vehicles.</w:t>
      </w:r>
    </w:p>
    <w:p w14:paraId="3C4F9DF3" w14:textId="77777777" w:rsidR="0007024F" w:rsidRDefault="00127A4E">
      <w:pPr>
        <w:pStyle w:val="Heading2"/>
      </w:pPr>
      <w:bookmarkStart w:id="5" w:name="_Toc67320740"/>
      <w:r>
        <w:t>Related programmes and other donor activities</w:t>
      </w:r>
      <w:bookmarkEnd w:id="5"/>
    </w:p>
    <w:p w14:paraId="556B5834" w14:textId="77777777" w:rsidR="0007024F" w:rsidRDefault="00127A4E">
      <w:pPr>
        <w:rPr>
          <w:rFonts w:ascii="Times New Roman" w:hAnsi="Times New Roman"/>
          <w:sz w:val="22"/>
          <w:szCs w:val="22"/>
        </w:rPr>
      </w:pPr>
      <w:r>
        <w:rPr>
          <w:rFonts w:ascii="Times New Roman" w:hAnsi="Times New Roman"/>
          <w:color w:val="000000"/>
          <w:sz w:val="22"/>
          <w:szCs w:val="22"/>
        </w:rPr>
        <w:t xml:space="preserve">The partner has the necessary experience, knowledge and capacity to carry out the full range of project actions. CARNM has experience in European projects as follows: </w:t>
      </w:r>
    </w:p>
    <w:p w14:paraId="1223B66F" w14:textId="77777777" w:rsidR="0007024F" w:rsidRDefault="00127A4E">
      <w:pPr>
        <w:numPr>
          <w:ilvl w:val="0"/>
          <w:numId w:val="21"/>
        </w:numPr>
        <w:spacing w:after="0" w:line="247" w:lineRule="auto"/>
        <w:ind w:left="0" w:firstLine="0"/>
      </w:pPr>
      <w:r>
        <w:rPr>
          <w:rFonts w:ascii="Times New Roman" w:hAnsi="Times New Roman"/>
          <w:color w:val="000000"/>
          <w:sz w:val="22"/>
          <w:szCs w:val="22"/>
          <w:u w:val="single"/>
        </w:rPr>
        <w:t xml:space="preserve">Extension and upgrading the customs clearance and inspection facilities of the road BCCP </w:t>
      </w:r>
      <w:proofErr w:type="spellStart"/>
      <w:r>
        <w:rPr>
          <w:rFonts w:ascii="Times New Roman" w:hAnsi="Times New Roman"/>
          <w:color w:val="000000"/>
          <w:sz w:val="22"/>
          <w:szCs w:val="22"/>
          <w:u w:val="single"/>
        </w:rPr>
        <w:t>Tabanovce</w:t>
      </w:r>
      <w:proofErr w:type="spellEnd"/>
      <w:r>
        <w:rPr>
          <w:rFonts w:ascii="Times New Roman" w:hAnsi="Times New Roman"/>
          <w:color w:val="000000"/>
          <w:sz w:val="22"/>
          <w:szCs w:val="22"/>
          <w:u w:val="single"/>
        </w:rPr>
        <w:t xml:space="preserve"> </w:t>
      </w:r>
      <w:r>
        <w:rPr>
          <w:rFonts w:ascii="Times New Roman" w:hAnsi="Times New Roman"/>
          <w:color w:val="000000"/>
          <w:sz w:val="22"/>
          <w:szCs w:val="22"/>
        </w:rPr>
        <w:t xml:space="preserve">– IPA I (2014-2020). The Project scope comprises of: extension of the existing cargo customs terminal along with new access road, new customs clearance building with support services, inspection facilities for trucks and a warehouse, external electrical works, water supply, firefighting, storm water and sewerage network with WWTP, horizontal and vertical traffic signalization and fence off the terminal and construction of two new lanes for trucks on exit side 1. Initiated in 2016 and completed in 2018, the new customs terminal at the </w:t>
      </w:r>
      <w:proofErr w:type="spellStart"/>
      <w:r>
        <w:rPr>
          <w:rFonts w:ascii="Times New Roman" w:hAnsi="Times New Roman"/>
          <w:color w:val="000000"/>
          <w:sz w:val="22"/>
          <w:szCs w:val="22"/>
        </w:rPr>
        <w:t>Tabanovce</w:t>
      </w:r>
      <w:proofErr w:type="spellEnd"/>
      <w:r>
        <w:rPr>
          <w:rFonts w:ascii="Times New Roman" w:hAnsi="Times New Roman"/>
          <w:color w:val="000000"/>
          <w:sz w:val="22"/>
          <w:szCs w:val="22"/>
        </w:rPr>
        <w:t xml:space="preserve"> was put into use, and the crossing was expanded with two new exit lanes.</w:t>
      </w:r>
    </w:p>
    <w:p w14:paraId="7F1A773E" w14:textId="77777777" w:rsidR="0007024F" w:rsidRDefault="00127A4E">
      <w:pPr>
        <w:numPr>
          <w:ilvl w:val="0"/>
          <w:numId w:val="22"/>
        </w:numPr>
        <w:spacing w:after="0" w:line="247" w:lineRule="auto"/>
        <w:ind w:left="0" w:firstLine="0"/>
        <w:rPr>
          <w:rFonts w:ascii="Times New Roman" w:hAnsi="Times New Roman"/>
          <w:sz w:val="22"/>
          <w:szCs w:val="22"/>
        </w:rPr>
      </w:pPr>
      <w:r>
        <w:rPr>
          <w:rFonts w:ascii="Times New Roman" w:hAnsi="Times New Roman"/>
          <w:color w:val="000000"/>
          <w:sz w:val="22"/>
          <w:szCs w:val="22"/>
          <w:u w:val="single"/>
        </w:rPr>
        <w:t xml:space="preserve">Upgrade of the customs clearance and inspection facilities at the road BCCP </w:t>
      </w:r>
      <w:proofErr w:type="spellStart"/>
      <w:r>
        <w:rPr>
          <w:rFonts w:ascii="Times New Roman" w:hAnsi="Times New Roman"/>
          <w:color w:val="000000"/>
          <w:sz w:val="22"/>
          <w:szCs w:val="22"/>
          <w:u w:val="single"/>
        </w:rPr>
        <w:t>Kjafasan</w:t>
      </w:r>
      <w:proofErr w:type="spellEnd"/>
      <w:r>
        <w:rPr>
          <w:rFonts w:ascii="Times New Roman" w:hAnsi="Times New Roman"/>
          <w:color w:val="000000"/>
          <w:sz w:val="22"/>
          <w:szCs w:val="22"/>
          <w:u w:val="single"/>
        </w:rPr>
        <w:t xml:space="preserve"> and supervision</w:t>
      </w:r>
      <w:r>
        <w:rPr>
          <w:rFonts w:ascii="Times New Roman" w:hAnsi="Times New Roman"/>
          <w:color w:val="000000"/>
          <w:sz w:val="22"/>
          <w:szCs w:val="22"/>
        </w:rPr>
        <w:t xml:space="preserve"> of works IPA I (2014-2020) – In 2017 at the BCCP of Corridor VIII with Albania a Project for upgrade of the BCCP </w:t>
      </w:r>
      <w:proofErr w:type="spellStart"/>
      <w:r>
        <w:rPr>
          <w:rFonts w:ascii="Times New Roman" w:hAnsi="Times New Roman"/>
          <w:color w:val="000000"/>
          <w:sz w:val="22"/>
          <w:szCs w:val="22"/>
        </w:rPr>
        <w:t>Kjafasan</w:t>
      </w:r>
      <w:proofErr w:type="spellEnd"/>
      <w:r>
        <w:rPr>
          <w:rFonts w:ascii="Times New Roman" w:hAnsi="Times New Roman"/>
          <w:color w:val="000000"/>
          <w:sz w:val="22"/>
          <w:szCs w:val="22"/>
        </w:rPr>
        <w:t xml:space="preserve"> took place. The facilitation of cross border procedures and enforcement of the legislation through the upgrade of the customs clearance and inspection facilities, thus enabling better services to the benefit of the economic operators to move their goods faster across the border, and enhanced protection of the country and the society was the overall objective of the intervention. More specifically a construction of a new import-export customs terminal of 9,500 m2, access roads, facilities for clearance and other inspection authorities; reconstruction of the existing facilities were completed and put into operation in 2019.</w:t>
      </w:r>
    </w:p>
    <w:p w14:paraId="355D8B32" w14:textId="77777777" w:rsidR="0007024F" w:rsidRDefault="00127A4E">
      <w:pPr>
        <w:numPr>
          <w:ilvl w:val="0"/>
          <w:numId w:val="22"/>
        </w:numPr>
        <w:spacing w:after="0" w:line="247" w:lineRule="auto"/>
        <w:ind w:left="0" w:firstLine="0"/>
        <w:rPr>
          <w:rFonts w:ascii="Times New Roman" w:hAnsi="Times New Roman"/>
          <w:sz w:val="22"/>
          <w:szCs w:val="22"/>
        </w:rPr>
      </w:pPr>
      <w:r>
        <w:rPr>
          <w:rFonts w:ascii="Times New Roman" w:hAnsi="Times New Roman"/>
          <w:color w:val="000000"/>
          <w:sz w:val="22"/>
          <w:szCs w:val="22"/>
          <w:u w:val="single"/>
        </w:rPr>
        <w:t>Development of Border Infrastructure between Greece and North Macedonia (BORDER.IN) , IPA I CBC  Program (2007-2013)</w:t>
      </w:r>
      <w:r>
        <w:rPr>
          <w:rFonts w:ascii="Times New Roman" w:hAnsi="Times New Roman"/>
          <w:color w:val="000000"/>
          <w:sz w:val="22"/>
          <w:szCs w:val="22"/>
        </w:rPr>
        <w:t xml:space="preserve">. This project aims to support the customs facilities in </w:t>
      </w:r>
      <w:proofErr w:type="spellStart"/>
      <w:r>
        <w:rPr>
          <w:rFonts w:ascii="Times New Roman" w:hAnsi="Times New Roman"/>
          <w:color w:val="000000"/>
          <w:sz w:val="22"/>
          <w:szCs w:val="22"/>
        </w:rPr>
        <w:t>Doirani</w:t>
      </w:r>
      <w:proofErr w:type="spellEnd"/>
      <w:r>
        <w:rPr>
          <w:rFonts w:ascii="Times New Roman" w:hAnsi="Times New Roman"/>
          <w:color w:val="000000"/>
          <w:sz w:val="22"/>
          <w:szCs w:val="22"/>
        </w:rPr>
        <w:t xml:space="preserve"> (Greece) and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(MKD), as well as their special operations, speeding up customs clearance of goods, processing of passengers, and prevention of smuggling. The modernization of the customs services in both countries will primarily be facilitated by infrastructure development. The key outcomes of the project are the renovations of the customs offices in </w:t>
      </w:r>
      <w:proofErr w:type="spellStart"/>
      <w:r>
        <w:rPr>
          <w:rFonts w:ascii="Times New Roman" w:hAnsi="Times New Roman"/>
          <w:color w:val="000000"/>
          <w:sz w:val="22"/>
          <w:szCs w:val="22"/>
        </w:rPr>
        <w:t>Doirani</w:t>
      </w:r>
      <w:proofErr w:type="spellEnd"/>
      <w:r>
        <w:rPr>
          <w:rFonts w:ascii="Times New Roman" w:hAnsi="Times New Roman"/>
          <w:color w:val="000000"/>
          <w:sz w:val="22"/>
          <w:szCs w:val="22"/>
        </w:rPr>
        <w:t xml:space="preserve"> and the administrative building in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BCCP. The facilities were put in operation in 2018.</w:t>
      </w:r>
    </w:p>
    <w:p w14:paraId="60B1D8CD" w14:textId="6B73CFE4" w:rsidR="0007024F" w:rsidRDefault="00127A4E">
      <w:pPr>
        <w:numPr>
          <w:ilvl w:val="0"/>
          <w:numId w:val="23"/>
        </w:numPr>
        <w:spacing w:after="0" w:line="247" w:lineRule="auto"/>
        <w:ind w:left="0" w:firstLine="0"/>
      </w:pPr>
      <w:r>
        <w:rPr>
          <w:rFonts w:ascii="Times New Roman" w:hAnsi="Times New Roman"/>
          <w:color w:val="000000"/>
          <w:sz w:val="22"/>
          <w:szCs w:val="22"/>
        </w:rPr>
        <w:t xml:space="preserve">„We Cross </w:t>
      </w:r>
      <w:r w:rsidR="00E219AE">
        <w:rPr>
          <w:rFonts w:ascii="Times New Roman" w:hAnsi="Times New Roman"/>
          <w:color w:val="000000"/>
          <w:sz w:val="22"/>
          <w:szCs w:val="22"/>
        </w:rPr>
        <w:t>Borders “</w:t>
      </w:r>
      <w:r>
        <w:rPr>
          <w:rFonts w:ascii="Times New Roman" w:hAnsi="Times New Roman"/>
          <w:color w:val="000000"/>
          <w:sz w:val="22"/>
          <w:szCs w:val="22"/>
        </w:rPr>
        <w:t xml:space="preserve">, project for cross border cooperation with Greece (CBC IPA Programme 2014-2020). The modernization and upgrade of the BCCPs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and </w:t>
      </w:r>
      <w:proofErr w:type="spellStart"/>
      <w:r>
        <w:rPr>
          <w:rFonts w:ascii="Times New Roman" w:hAnsi="Times New Roman"/>
          <w:color w:val="000000"/>
          <w:sz w:val="22"/>
          <w:szCs w:val="22"/>
        </w:rPr>
        <w:t>Dojran</w:t>
      </w:r>
      <w:proofErr w:type="spellEnd"/>
      <w:r>
        <w:rPr>
          <w:rFonts w:ascii="Times New Roman" w:hAnsi="Times New Roman"/>
          <w:color w:val="000000"/>
          <w:sz w:val="22"/>
          <w:szCs w:val="22"/>
        </w:rPr>
        <w:t xml:space="preserve">, will contribute to greater functionality, faster traffic flow and increased quality of services for employees and passengers, as users of border crossing points. The outcome is modernized border crossing points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and build-in weighbridge for trucks at exit from the country, provided a new electro-mechanical lift for motor vehicles in the garage for detailed inspection of passenger motor vehicles. The project is still ongoing.</w:t>
      </w:r>
    </w:p>
    <w:p w14:paraId="21D70FEF" w14:textId="77777777" w:rsidR="0007024F" w:rsidRDefault="0007024F">
      <w:pPr>
        <w:rPr>
          <w:rFonts w:ascii="Times New Roman" w:hAnsi="Times New Roman"/>
          <w:sz w:val="22"/>
          <w:szCs w:val="22"/>
        </w:rPr>
      </w:pPr>
    </w:p>
    <w:p w14:paraId="528B0709" w14:textId="77777777" w:rsidR="0007024F" w:rsidRDefault="00127A4E">
      <w:pPr>
        <w:pStyle w:val="Heading1"/>
      </w:pPr>
      <w:bookmarkStart w:id="6" w:name="_Toc67320741"/>
      <w:r>
        <w:t>OBJECTIVES &amp; EXPECTED OUTPUTS</w:t>
      </w:r>
      <w:bookmarkEnd w:id="6"/>
    </w:p>
    <w:p w14:paraId="3A99BB7D" w14:textId="77777777" w:rsidR="0007024F" w:rsidRDefault="00127A4E">
      <w:pPr>
        <w:pStyle w:val="Heading2"/>
      </w:pPr>
      <w:bookmarkStart w:id="7" w:name="_Toc67320742"/>
      <w:r>
        <w:t>Overall objective</w:t>
      </w:r>
      <w:bookmarkEnd w:id="7"/>
    </w:p>
    <w:p w14:paraId="36BA6E5F" w14:textId="77777777" w:rsidR="0007024F" w:rsidRDefault="00127A4E">
      <w:r>
        <w:rPr>
          <w:rFonts w:ascii="Times New Roman" w:hAnsi="Times New Roman"/>
          <w:sz w:val="22"/>
          <w:szCs w:val="22"/>
        </w:rPr>
        <w:t>The overall objective (Impact)to which this action contributes is:</w:t>
      </w:r>
    </w:p>
    <w:p w14:paraId="292902B0" w14:textId="77777777" w:rsidR="0007024F" w:rsidRDefault="00127A4E">
      <w:r>
        <w:rPr>
          <w:rFonts w:ascii="Times New Roman" w:eastAsia="Calibri" w:hAnsi="Times New Roman"/>
          <w:sz w:val="22"/>
          <w:szCs w:val="22"/>
        </w:rPr>
        <w:t>To provide support in successful completion of the Project for “Establishment of a new Border Crossing Check Point “</w:t>
      </w:r>
      <w:proofErr w:type="spellStart"/>
      <w:r>
        <w:rPr>
          <w:rFonts w:ascii="Times New Roman" w:eastAsia="Calibri" w:hAnsi="Times New Roman"/>
          <w:sz w:val="22"/>
          <w:szCs w:val="22"/>
        </w:rPr>
        <w:t>Klepalo</w:t>
      </w:r>
      <w:proofErr w:type="spellEnd"/>
      <w:r>
        <w:rPr>
          <w:rFonts w:ascii="Times New Roman" w:eastAsia="Calibri" w:hAnsi="Times New Roman"/>
          <w:sz w:val="22"/>
          <w:szCs w:val="22"/>
        </w:rPr>
        <w:t>” between the Republic of North Macedonia and the Republic of Bulgaria”.</w:t>
      </w:r>
    </w:p>
    <w:p w14:paraId="5CD855A4" w14:textId="77777777" w:rsidR="0007024F" w:rsidRDefault="00127A4E">
      <w:pPr>
        <w:pStyle w:val="Heading2"/>
      </w:pPr>
      <w:bookmarkStart w:id="8" w:name="_Toc67320743"/>
      <w:r>
        <w:t xml:space="preserve"> </w:t>
      </w:r>
      <w:bookmarkStart w:id="9" w:name="_Toc64132845"/>
      <w:r>
        <w:t>Specific objective(s)</w:t>
      </w:r>
      <w:bookmarkEnd w:id="8"/>
      <w:bookmarkEnd w:id="9"/>
    </w:p>
    <w:p w14:paraId="725A5F33" w14:textId="77777777" w:rsidR="0007024F" w:rsidRDefault="00127A4E">
      <w:pPr>
        <w:keepNext/>
        <w:keepLines/>
        <w:rPr>
          <w:rFonts w:ascii="Times New Roman" w:hAnsi="Times New Roman"/>
          <w:sz w:val="22"/>
          <w:szCs w:val="22"/>
        </w:rPr>
      </w:pPr>
      <w:r>
        <w:rPr>
          <w:rFonts w:ascii="Times New Roman" w:hAnsi="Times New Roman"/>
          <w:sz w:val="22"/>
          <w:szCs w:val="22"/>
        </w:rPr>
        <w:t xml:space="preserve">The specific </w:t>
      </w:r>
      <w:r>
        <w:rPr>
          <w:rFonts w:ascii="Times New Roman" w:hAnsi="Times New Roman"/>
          <w:sz w:val="22"/>
          <w:szCs w:val="22"/>
          <w:lang w:val="en-US"/>
        </w:rPr>
        <w:t>objective of</w:t>
      </w:r>
      <w:r>
        <w:rPr>
          <w:rFonts w:ascii="Times New Roman" w:hAnsi="Times New Roman"/>
          <w:sz w:val="22"/>
          <w:szCs w:val="22"/>
        </w:rPr>
        <w:t xml:space="preserve"> this contract</w:t>
      </w:r>
      <w:r>
        <w:rPr>
          <w:rFonts w:ascii="Times New Roman" w:hAnsi="Times New Roman"/>
          <w:sz w:val="22"/>
          <w:szCs w:val="22"/>
          <w:lang w:val="en-US"/>
        </w:rPr>
        <w:t xml:space="preserve"> is </w:t>
      </w:r>
      <w:r>
        <w:rPr>
          <w:rFonts w:ascii="Times New Roman" w:hAnsi="Times New Roman"/>
          <w:sz w:val="22"/>
          <w:szCs w:val="22"/>
        </w:rPr>
        <w:t>as follows:</w:t>
      </w:r>
    </w:p>
    <w:p w14:paraId="10031394" w14:textId="0C00A285" w:rsidR="0007024F" w:rsidRDefault="00127A4E">
      <w:pPr>
        <w:rPr>
          <w:rFonts w:ascii="Times New Roman" w:hAnsi="Times New Roman"/>
          <w:sz w:val="22"/>
          <w:szCs w:val="22"/>
        </w:rPr>
      </w:pPr>
      <w:r>
        <w:rPr>
          <w:rFonts w:ascii="Times New Roman" w:hAnsi="Times New Roman"/>
          <w:sz w:val="22"/>
          <w:szCs w:val="22"/>
        </w:rPr>
        <w:t xml:space="preserve">Preparation of the Tender Documentation for different types of contracts defined in the Procurement </w:t>
      </w:r>
      <w:r w:rsidR="00E219AE">
        <w:rPr>
          <w:rFonts w:ascii="Times New Roman" w:hAnsi="Times New Roman"/>
          <w:sz w:val="22"/>
          <w:szCs w:val="22"/>
        </w:rPr>
        <w:t>Plan and</w:t>
      </w:r>
      <w:r>
        <w:rPr>
          <w:rFonts w:ascii="Times New Roman" w:hAnsi="Times New Roman"/>
          <w:sz w:val="22"/>
          <w:szCs w:val="22"/>
        </w:rPr>
        <w:t xml:space="preserve"> support to the Contracting authority in respect to Practical guide on contract procedures for </w:t>
      </w:r>
      <w:r>
        <w:rPr>
          <w:rFonts w:ascii="Times New Roman" w:hAnsi="Times New Roman"/>
          <w:sz w:val="22"/>
          <w:szCs w:val="22"/>
        </w:rPr>
        <w:lastRenderedPageBreak/>
        <w:t xml:space="preserve">European Union external action (PRAG) related to the implementation of the Project the “Establishment of a new Border Crossing Check Point (BCCP) </w:t>
      </w:r>
      <w:proofErr w:type="spellStart"/>
      <w:r>
        <w:rPr>
          <w:rFonts w:ascii="Times New Roman" w:hAnsi="Times New Roman"/>
          <w:sz w:val="22"/>
          <w:szCs w:val="22"/>
        </w:rPr>
        <w:t>Strumyani</w:t>
      </w:r>
      <w:proofErr w:type="spellEnd"/>
      <w:r>
        <w:rPr>
          <w:rFonts w:ascii="Times New Roman" w:hAnsi="Times New Roman"/>
          <w:sz w:val="22"/>
          <w:szCs w:val="22"/>
        </w:rPr>
        <w:t xml:space="preserve"> – </w:t>
      </w:r>
      <w:proofErr w:type="spellStart"/>
      <w:r>
        <w:rPr>
          <w:rFonts w:ascii="Times New Roman" w:hAnsi="Times New Roman"/>
          <w:sz w:val="22"/>
          <w:szCs w:val="22"/>
        </w:rPr>
        <w:t>Berovo</w:t>
      </w:r>
      <w:proofErr w:type="spellEnd"/>
      <w:r>
        <w:rPr>
          <w:rFonts w:ascii="Times New Roman" w:hAnsi="Times New Roman"/>
          <w:sz w:val="22"/>
          <w:szCs w:val="22"/>
        </w:rPr>
        <w:t xml:space="preserve"> to be financed under Interreg VI-A Programme Bulgaria-North Macedonia 2021 – 2027”</w:t>
      </w:r>
    </w:p>
    <w:p w14:paraId="6112C58B" w14:textId="77777777" w:rsidR="0007024F" w:rsidRDefault="00127A4E">
      <w:pPr>
        <w:rPr>
          <w:rFonts w:ascii="Times New Roman" w:hAnsi="Times New Roman"/>
          <w:sz w:val="22"/>
          <w:szCs w:val="22"/>
        </w:rPr>
      </w:pPr>
      <w:r>
        <w:rPr>
          <w:rFonts w:ascii="Times New Roman" w:hAnsi="Times New Roman"/>
          <w:color w:val="000000"/>
          <w:sz w:val="22"/>
          <w:szCs w:val="22"/>
        </w:rPr>
        <w:t>The expected outputs of this contract are as follows:</w:t>
      </w:r>
    </w:p>
    <w:p w14:paraId="05C4A77E" w14:textId="59295D2D" w:rsidR="0007024F" w:rsidRDefault="00127A4E">
      <w:pPr>
        <w:numPr>
          <w:ilvl w:val="0"/>
          <w:numId w:val="24"/>
        </w:numPr>
        <w:rPr>
          <w:rFonts w:ascii="Times New Roman" w:hAnsi="Times New Roman"/>
          <w:sz w:val="22"/>
          <w:szCs w:val="22"/>
        </w:rPr>
      </w:pPr>
      <w:r>
        <w:rPr>
          <w:rFonts w:ascii="Times New Roman" w:hAnsi="Times New Roman"/>
          <w:b/>
          <w:bCs/>
          <w:color w:val="000000"/>
          <w:sz w:val="22"/>
          <w:szCs w:val="22"/>
          <w:u w:val="single"/>
        </w:rPr>
        <w:t>Prepared Tender Dossier for engaging of the second Procurement control observer for supporting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645A4D82" w14:textId="77777777" w:rsidR="0007024F" w:rsidRDefault="00127A4E">
      <w:pPr>
        <w:numPr>
          <w:ilvl w:val="0"/>
          <w:numId w:val="24"/>
        </w:numPr>
        <w:rPr>
          <w:rFonts w:ascii="Times New Roman" w:hAnsi="Times New Roman"/>
          <w:sz w:val="22"/>
          <w:szCs w:val="22"/>
        </w:rPr>
      </w:pPr>
      <w:r>
        <w:rPr>
          <w:rFonts w:ascii="Times New Roman" w:hAnsi="Times New Roman"/>
          <w:color w:val="000000"/>
          <w:sz w:val="22"/>
          <w:szCs w:val="22"/>
        </w:rPr>
        <w:t xml:space="preserve">   </w:t>
      </w:r>
      <w:r>
        <w:rPr>
          <w:rFonts w:ascii="Times New Roman" w:hAnsi="Times New Roman"/>
          <w:b/>
          <w:bCs/>
          <w:color w:val="000000"/>
          <w:sz w:val="22"/>
          <w:szCs w:val="22"/>
          <w:u w:val="single"/>
        </w:rPr>
        <w:t>Prepared Tender Dossier for engaging of the first civil works engineer/ architect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775C7207" w14:textId="77777777" w:rsidR="0007024F" w:rsidRDefault="00127A4E">
      <w:pPr>
        <w:numPr>
          <w:ilvl w:val="0"/>
          <w:numId w:val="24"/>
        </w:numPr>
        <w:rPr>
          <w:rFonts w:ascii="Times New Roman" w:hAnsi="Times New Roman"/>
          <w:sz w:val="22"/>
          <w:szCs w:val="22"/>
        </w:rPr>
      </w:pPr>
      <w:r>
        <w:rPr>
          <w:rFonts w:ascii="Times New Roman" w:hAnsi="Times New Roman"/>
          <w:b/>
          <w:bCs/>
          <w:color w:val="000000"/>
          <w:sz w:val="22"/>
          <w:szCs w:val="22"/>
          <w:u w:val="single"/>
        </w:rPr>
        <w:t xml:space="preserve">   Prepared Tender Dossier for engaging of the second civil works engineer/ architect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308F75C6" w14:textId="77777777" w:rsidR="0007024F" w:rsidRDefault="00127A4E">
      <w:pPr>
        <w:numPr>
          <w:ilvl w:val="0"/>
          <w:numId w:val="24"/>
        </w:numPr>
        <w:rPr>
          <w:rFonts w:ascii="Times New Roman" w:hAnsi="Times New Roman"/>
          <w:sz w:val="22"/>
          <w:szCs w:val="22"/>
        </w:rPr>
      </w:pPr>
      <w:r>
        <w:rPr>
          <w:rFonts w:ascii="Times New Roman" w:hAnsi="Times New Roman"/>
          <w:b/>
          <w:bCs/>
          <w:color w:val="000000"/>
          <w:sz w:val="22"/>
          <w:szCs w:val="22"/>
          <w:u w:val="single"/>
        </w:rPr>
        <w:t xml:space="preserve"> Prepared Tender Dossier for engaging of the Technical Project Coordinator and Communication Officer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0AA5F0E5" w14:textId="77777777" w:rsidR="0007024F" w:rsidRDefault="00127A4E">
      <w:pPr>
        <w:numPr>
          <w:ilvl w:val="0"/>
          <w:numId w:val="24"/>
        </w:numPr>
        <w:rPr>
          <w:rFonts w:ascii="Times New Roman" w:hAnsi="Times New Roman"/>
          <w:sz w:val="22"/>
          <w:szCs w:val="22"/>
        </w:rPr>
      </w:pPr>
      <w:r>
        <w:rPr>
          <w:rFonts w:ascii="Times New Roman" w:hAnsi="Times New Roman"/>
          <w:b/>
          <w:bCs/>
          <w:color w:val="000000"/>
          <w:sz w:val="22"/>
          <w:szCs w:val="22"/>
          <w:u w:val="single"/>
        </w:rPr>
        <w:t>Prepared Tender Dossier for implementing Communication and Visibility activities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xml:space="preserve">) between Bulgaria and North Macedonia", accepted by the Customs </w:t>
      </w:r>
      <w:r>
        <w:rPr>
          <w:rFonts w:ascii="Times New Roman" w:hAnsi="Times New Roman"/>
          <w:color w:val="000000"/>
          <w:sz w:val="22"/>
          <w:szCs w:val="22"/>
        </w:rPr>
        <w:lastRenderedPageBreak/>
        <w:t>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 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1B172B01" w14:textId="77777777" w:rsidR="0007024F" w:rsidRDefault="00127A4E">
      <w:pPr>
        <w:numPr>
          <w:ilvl w:val="0"/>
          <w:numId w:val="24"/>
        </w:numPr>
        <w:rPr>
          <w:rFonts w:ascii="Times New Roman" w:hAnsi="Times New Roman"/>
          <w:sz w:val="22"/>
          <w:szCs w:val="22"/>
        </w:rPr>
      </w:pPr>
      <w:r>
        <w:rPr>
          <w:rFonts w:ascii="Times New Roman" w:hAnsi="Times New Roman"/>
          <w:b/>
          <w:bCs/>
          <w:color w:val="000000"/>
          <w:sz w:val="22"/>
          <w:szCs w:val="22"/>
          <w:u w:val="single"/>
        </w:rPr>
        <w:t xml:space="preserve"> Prepared Tender Dossier for Technical Assistance for preparation of the Design documentation including Designer’s Supervision during Construction as support to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 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62D98679" w14:textId="77777777" w:rsidR="0007024F" w:rsidRDefault="00127A4E">
      <w:pPr>
        <w:numPr>
          <w:ilvl w:val="0"/>
          <w:numId w:val="24"/>
        </w:numPr>
      </w:pPr>
      <w:r>
        <w:rPr>
          <w:rFonts w:ascii="Times New Roman" w:hAnsi="Times New Roman"/>
          <w:b/>
          <w:bCs/>
          <w:color w:val="000000"/>
          <w:sz w:val="22"/>
          <w:szCs w:val="22"/>
          <w:u w:val="single"/>
        </w:rPr>
        <w:t>Prepared Tender Dossier for Technical Assistance for Urban Planning and Design Review as support to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 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4E08CA3D" w14:textId="77777777" w:rsidR="0007024F" w:rsidRDefault="00127A4E">
      <w:pPr>
        <w:numPr>
          <w:ilvl w:val="0"/>
          <w:numId w:val="24"/>
        </w:numPr>
        <w:suppressAutoHyphens w:val="0"/>
        <w:rPr>
          <w:rFonts w:ascii="Times New Roman" w:hAnsi="Times New Roman"/>
          <w:sz w:val="22"/>
          <w:szCs w:val="22"/>
        </w:rPr>
      </w:pPr>
      <w:r>
        <w:rPr>
          <w:rFonts w:ascii="Times New Roman" w:hAnsi="Times New Roman"/>
          <w:b/>
          <w:bCs/>
          <w:color w:val="000000"/>
          <w:sz w:val="22"/>
          <w:szCs w:val="22"/>
          <w:u w:val="single"/>
        </w:rPr>
        <w:t>Prepared Tender Dossier for engaging of the civil engineer No. 3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 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424370C9" w14:textId="77777777" w:rsidR="0007024F" w:rsidRDefault="00127A4E">
      <w:pPr>
        <w:numPr>
          <w:ilvl w:val="0"/>
          <w:numId w:val="24"/>
        </w:numPr>
        <w:suppressAutoHyphens w:val="0"/>
        <w:rPr>
          <w:rFonts w:ascii="Times New Roman" w:hAnsi="Times New Roman"/>
          <w:sz w:val="22"/>
          <w:szCs w:val="22"/>
        </w:rPr>
      </w:pPr>
      <w:r>
        <w:rPr>
          <w:rFonts w:ascii="Times New Roman" w:hAnsi="Times New Roman"/>
          <w:b/>
          <w:bCs/>
          <w:color w:val="000000"/>
          <w:sz w:val="22"/>
          <w:szCs w:val="22"/>
          <w:u w:val="single"/>
        </w:rPr>
        <w:t>   Prepared Tender Dossier for engaging of the civil engineer No.4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 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304A94B4" w14:textId="77777777" w:rsidR="0007024F" w:rsidRDefault="00127A4E">
      <w:pPr>
        <w:numPr>
          <w:ilvl w:val="0"/>
          <w:numId w:val="24"/>
        </w:numPr>
        <w:suppressAutoHyphens w:val="0"/>
        <w:rPr>
          <w:rFonts w:ascii="Times New Roman" w:hAnsi="Times New Roman"/>
          <w:sz w:val="22"/>
          <w:szCs w:val="22"/>
        </w:rPr>
      </w:pPr>
      <w:r>
        <w:rPr>
          <w:rFonts w:ascii="Times New Roman" w:hAnsi="Times New Roman"/>
          <w:b/>
          <w:bCs/>
          <w:color w:val="000000"/>
          <w:sz w:val="22"/>
          <w:szCs w:val="22"/>
          <w:u w:val="single"/>
        </w:rPr>
        <w:lastRenderedPageBreak/>
        <w:t>Prepared Tender Dossier for Supervision of the Work Contract  that will support the Project</w:t>
      </w:r>
      <w:r>
        <w:rPr>
          <w:rFonts w:ascii="Times New Roman" w:hAnsi="Times New Roman"/>
          <w:b/>
          <w:bCs/>
          <w:color w:val="000000"/>
          <w:sz w:val="22"/>
          <w:szCs w:val="22"/>
        </w:rPr>
        <w:t xml:space="preserve"> </w:t>
      </w:r>
      <w:r>
        <w:rPr>
          <w:rFonts w:ascii="Times New Roman" w:hAnsi="Times New Roman"/>
          <w:color w:val="000000"/>
          <w:sz w:val="22"/>
          <w:szCs w:val="22"/>
        </w:rPr>
        <w:t xml:space="preserve">"Establishing of a new border cross check point (BCCP) </w:t>
      </w:r>
      <w:proofErr w:type="spellStart"/>
      <w:r>
        <w:rPr>
          <w:rFonts w:ascii="Times New Roman" w:hAnsi="Times New Roman"/>
          <w:color w:val="000000"/>
          <w:sz w:val="22"/>
          <w:szCs w:val="22"/>
        </w:rPr>
        <w:t>Strumyani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Berovo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Klepalo</w:t>
      </w:r>
      <w:proofErr w:type="spellEnd"/>
      <w:r>
        <w:rPr>
          <w:rFonts w:ascii="Times New Roman" w:hAnsi="Times New Roman"/>
          <w:color w:val="000000"/>
          <w:sz w:val="22"/>
          <w:szCs w:val="22"/>
        </w:rPr>
        <w:t>) between Bulgaria and North Macedonia", accepted by the Customs Administration. The Tender Dossier should be prepared according to the latest version of PRAG following the simplified procedure. In addition, supporting the Contracting Authority during the tendering procedure (</w:t>
      </w:r>
      <w:proofErr w:type="spellStart"/>
      <w:r>
        <w:rPr>
          <w:rFonts w:ascii="Times New Roman" w:hAnsi="Times New Roman"/>
          <w:color w:val="000000"/>
          <w:sz w:val="22"/>
          <w:szCs w:val="22"/>
        </w:rPr>
        <w:t>eg.</w:t>
      </w:r>
      <w:proofErr w:type="spellEnd"/>
      <w:r>
        <w:rPr>
          <w:rFonts w:ascii="Times New Roman" w:hAnsi="Times New Roman"/>
          <w:color w:val="000000"/>
          <w:sz w:val="22"/>
          <w:szCs w:val="22"/>
        </w:rPr>
        <w:t xml:space="preserve"> Drafting the answers to the questions from the tenderers, advising the Contracting Authority about the procedure for preparation and publication of Cancellation Notice or Corrigendum etc). If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 </w:t>
      </w:r>
    </w:p>
    <w:p w14:paraId="38379462" w14:textId="77777777" w:rsidR="0007024F" w:rsidRDefault="00127A4E">
      <w:pPr>
        <w:numPr>
          <w:ilvl w:val="0"/>
          <w:numId w:val="24"/>
        </w:numPr>
        <w:suppressAutoHyphens w:val="0"/>
        <w:rPr>
          <w:rFonts w:ascii="Times New Roman" w:hAnsi="Times New Roman"/>
          <w:sz w:val="22"/>
          <w:szCs w:val="22"/>
        </w:rPr>
      </w:pPr>
      <w:r>
        <w:rPr>
          <w:rFonts w:ascii="Times New Roman" w:hAnsi="Times New Roman"/>
          <w:color w:val="000000"/>
          <w:sz w:val="22"/>
          <w:szCs w:val="22"/>
        </w:rPr>
        <w:t>Report about the support/ consultations provided during the implementation of the above mentioned contracts related to PRAG, if needed</w:t>
      </w:r>
    </w:p>
    <w:p w14:paraId="47444905" w14:textId="77777777" w:rsidR="0007024F" w:rsidRDefault="00127A4E">
      <w:pPr>
        <w:suppressAutoHyphens w:val="0"/>
        <w:rPr>
          <w:rFonts w:ascii="Times New Roman" w:hAnsi="Times New Roman"/>
          <w:sz w:val="22"/>
          <w:szCs w:val="22"/>
        </w:rPr>
      </w:pPr>
      <w:r>
        <w:rPr>
          <w:rFonts w:ascii="Times New Roman" w:hAnsi="Times New Roman"/>
          <w:color w:val="000000"/>
          <w:sz w:val="22"/>
          <w:szCs w:val="22"/>
        </w:rPr>
        <w:t>The timelines for the delivery of the outputs should be as follows:</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19"/>
        <w:gridCol w:w="5478"/>
        <w:gridCol w:w="3164"/>
      </w:tblGrid>
      <w:tr w:rsidR="0007024F" w:rsidRPr="004D465A" w14:paraId="41CE5C2E" w14:textId="77777777" w:rsidTr="008F587A">
        <w:tc>
          <w:tcPr>
            <w:tcW w:w="419" w:type="dxa"/>
            <w:tcBorders>
              <w:top w:val="single" w:sz="4" w:space="0" w:color="000000"/>
              <w:left w:val="single" w:sz="4" w:space="0" w:color="000000"/>
              <w:bottom w:val="single" w:sz="4" w:space="0" w:color="auto"/>
            </w:tcBorders>
          </w:tcPr>
          <w:p w14:paraId="21B2215B" w14:textId="77777777" w:rsidR="0007024F" w:rsidRPr="004D465A" w:rsidRDefault="00127A4E" w:rsidP="004D465A">
            <w:pPr>
              <w:pStyle w:val="TableContents"/>
              <w:spacing w:after="0"/>
              <w:jc w:val="center"/>
              <w:rPr>
                <w:rFonts w:ascii="Times New Roman" w:hAnsi="Times New Roman"/>
                <w:b/>
                <w:bCs/>
              </w:rPr>
            </w:pPr>
            <w:r w:rsidRPr="004D465A">
              <w:rPr>
                <w:rFonts w:ascii="Times New Roman" w:hAnsi="Times New Roman"/>
                <w:b/>
                <w:bCs/>
              </w:rPr>
              <w:t>no.</w:t>
            </w:r>
          </w:p>
        </w:tc>
        <w:tc>
          <w:tcPr>
            <w:tcW w:w="5478" w:type="dxa"/>
            <w:tcBorders>
              <w:top w:val="single" w:sz="4" w:space="0" w:color="000000"/>
              <w:left w:val="single" w:sz="4" w:space="0" w:color="000000"/>
              <w:bottom w:val="single" w:sz="4" w:space="0" w:color="auto"/>
            </w:tcBorders>
          </w:tcPr>
          <w:p w14:paraId="49B6600C" w14:textId="77777777" w:rsidR="0007024F" w:rsidRPr="004D465A" w:rsidRDefault="00127A4E" w:rsidP="004D465A">
            <w:pPr>
              <w:pStyle w:val="TableContents"/>
              <w:spacing w:after="0"/>
              <w:jc w:val="center"/>
              <w:rPr>
                <w:rFonts w:ascii="Times New Roman" w:hAnsi="Times New Roman"/>
                <w:b/>
                <w:bCs/>
              </w:rPr>
            </w:pPr>
            <w:r w:rsidRPr="004D465A">
              <w:rPr>
                <w:rFonts w:ascii="Times New Roman" w:hAnsi="Times New Roman"/>
                <w:b/>
                <w:bCs/>
              </w:rPr>
              <w:t>Tender Dossier</w:t>
            </w:r>
          </w:p>
        </w:tc>
        <w:tc>
          <w:tcPr>
            <w:tcW w:w="3164" w:type="dxa"/>
            <w:tcBorders>
              <w:top w:val="single" w:sz="4" w:space="0" w:color="000000"/>
              <w:left w:val="single" w:sz="4" w:space="0" w:color="000000"/>
              <w:bottom w:val="single" w:sz="4" w:space="0" w:color="auto"/>
              <w:right w:val="single" w:sz="4" w:space="0" w:color="000000"/>
            </w:tcBorders>
          </w:tcPr>
          <w:p w14:paraId="748F8AD7" w14:textId="225E8609" w:rsidR="0007024F" w:rsidRPr="004D465A" w:rsidRDefault="00127A4E" w:rsidP="004D465A">
            <w:pPr>
              <w:pStyle w:val="TableContents"/>
              <w:spacing w:after="0"/>
              <w:jc w:val="center"/>
              <w:rPr>
                <w:rFonts w:ascii="Times New Roman" w:hAnsi="Times New Roman"/>
                <w:b/>
                <w:bCs/>
              </w:rPr>
            </w:pPr>
            <w:r w:rsidRPr="004D465A">
              <w:rPr>
                <w:rFonts w:ascii="Times New Roman" w:hAnsi="Times New Roman"/>
                <w:b/>
                <w:bCs/>
              </w:rPr>
              <w:t>Timeline</w:t>
            </w:r>
          </w:p>
        </w:tc>
      </w:tr>
      <w:tr w:rsidR="0007024F" w:rsidRPr="004D465A" w14:paraId="1C50FE08" w14:textId="77777777" w:rsidTr="008F587A">
        <w:tc>
          <w:tcPr>
            <w:tcW w:w="419" w:type="dxa"/>
            <w:tcBorders>
              <w:left w:val="single" w:sz="4" w:space="0" w:color="000000"/>
              <w:bottom w:val="single" w:sz="4" w:space="0" w:color="000000"/>
            </w:tcBorders>
          </w:tcPr>
          <w:p w14:paraId="099B4D24" w14:textId="0552B59F" w:rsidR="0007024F" w:rsidRPr="004D465A" w:rsidRDefault="008F587A" w:rsidP="004D465A">
            <w:pPr>
              <w:pStyle w:val="TableContents"/>
              <w:spacing w:after="0"/>
              <w:jc w:val="center"/>
              <w:rPr>
                <w:rFonts w:ascii="Times New Roman" w:hAnsi="Times New Roman"/>
              </w:rPr>
            </w:pPr>
            <w:r w:rsidRPr="004D465A">
              <w:rPr>
                <w:rFonts w:ascii="Times New Roman" w:hAnsi="Times New Roman"/>
              </w:rPr>
              <w:t>1</w:t>
            </w:r>
          </w:p>
        </w:tc>
        <w:tc>
          <w:tcPr>
            <w:tcW w:w="5478" w:type="dxa"/>
            <w:tcBorders>
              <w:left w:val="single" w:sz="4" w:space="0" w:color="000000"/>
              <w:bottom w:val="single" w:sz="4" w:space="0" w:color="000000"/>
            </w:tcBorders>
          </w:tcPr>
          <w:p w14:paraId="25EB0365" w14:textId="1CB5A715" w:rsidR="0007024F"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second Observer</w:t>
            </w:r>
          </w:p>
        </w:tc>
        <w:tc>
          <w:tcPr>
            <w:tcW w:w="3164" w:type="dxa"/>
            <w:tcBorders>
              <w:left w:val="single" w:sz="4" w:space="0" w:color="000000"/>
              <w:bottom w:val="single" w:sz="4" w:space="0" w:color="000000"/>
              <w:right w:val="single" w:sz="4" w:space="0" w:color="000000"/>
            </w:tcBorders>
          </w:tcPr>
          <w:p w14:paraId="43EDFEB3" w14:textId="77777777" w:rsidR="0007024F" w:rsidRPr="004D465A" w:rsidRDefault="00167806" w:rsidP="004D465A">
            <w:pPr>
              <w:pStyle w:val="TableContents"/>
              <w:spacing w:after="0"/>
              <w:jc w:val="center"/>
              <w:rPr>
                <w:rFonts w:ascii="Times New Roman" w:hAnsi="Times New Roman"/>
                <w:b/>
                <w:bCs/>
              </w:rPr>
            </w:pPr>
            <w:r w:rsidRPr="004D465A">
              <w:rPr>
                <w:rFonts w:ascii="Times New Roman" w:hAnsi="Times New Roman"/>
                <w:b/>
                <w:bCs/>
              </w:rPr>
              <w:t>March 2026</w:t>
            </w:r>
          </w:p>
        </w:tc>
      </w:tr>
      <w:tr w:rsidR="00167806" w:rsidRPr="004D465A" w14:paraId="467F41EC" w14:textId="77777777" w:rsidTr="008F587A">
        <w:tc>
          <w:tcPr>
            <w:tcW w:w="419" w:type="dxa"/>
            <w:tcBorders>
              <w:left w:val="single" w:sz="4" w:space="0" w:color="000000"/>
              <w:bottom w:val="single" w:sz="4" w:space="0" w:color="000000"/>
            </w:tcBorders>
          </w:tcPr>
          <w:p w14:paraId="6A2E4D0C" w14:textId="2D12B108" w:rsidR="00167806" w:rsidRPr="004D465A" w:rsidRDefault="008F587A" w:rsidP="004D465A">
            <w:pPr>
              <w:pStyle w:val="TableContents"/>
              <w:spacing w:after="0"/>
              <w:jc w:val="center"/>
              <w:rPr>
                <w:rFonts w:ascii="Times New Roman" w:hAnsi="Times New Roman"/>
              </w:rPr>
            </w:pPr>
            <w:r w:rsidRPr="004D465A">
              <w:rPr>
                <w:rFonts w:ascii="Times New Roman" w:hAnsi="Times New Roman"/>
              </w:rPr>
              <w:t>2</w:t>
            </w:r>
          </w:p>
        </w:tc>
        <w:tc>
          <w:tcPr>
            <w:tcW w:w="5478" w:type="dxa"/>
            <w:tcBorders>
              <w:left w:val="single" w:sz="4" w:space="0" w:color="000000"/>
              <w:bottom w:val="single" w:sz="4" w:space="0" w:color="000000"/>
            </w:tcBorders>
          </w:tcPr>
          <w:p w14:paraId="0D4EC4E4"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first Civil Engineer/ Architect</w:t>
            </w:r>
          </w:p>
        </w:tc>
        <w:tc>
          <w:tcPr>
            <w:tcW w:w="3164" w:type="dxa"/>
            <w:tcBorders>
              <w:left w:val="single" w:sz="4" w:space="0" w:color="000000"/>
              <w:bottom w:val="single" w:sz="4" w:space="0" w:color="000000"/>
              <w:right w:val="single" w:sz="4" w:space="0" w:color="000000"/>
            </w:tcBorders>
          </w:tcPr>
          <w:p w14:paraId="21E41827" w14:textId="42D55795" w:rsidR="00167806" w:rsidRPr="004D465A" w:rsidRDefault="008F587A" w:rsidP="004D465A">
            <w:pPr>
              <w:pStyle w:val="TableContents"/>
              <w:spacing w:after="0"/>
              <w:jc w:val="center"/>
              <w:rPr>
                <w:rFonts w:ascii="Times New Roman" w:hAnsi="Times New Roman"/>
                <w:b/>
                <w:bCs/>
              </w:rPr>
            </w:pPr>
            <w:r w:rsidRPr="004D465A">
              <w:rPr>
                <w:rFonts w:ascii="Times New Roman" w:hAnsi="Times New Roman"/>
                <w:b/>
                <w:bCs/>
              </w:rPr>
              <w:t>June</w:t>
            </w:r>
            <w:r w:rsidR="00167806" w:rsidRPr="004D465A">
              <w:rPr>
                <w:rFonts w:ascii="Times New Roman" w:hAnsi="Times New Roman"/>
                <w:b/>
                <w:bCs/>
              </w:rPr>
              <w:t xml:space="preserve"> 2024</w:t>
            </w:r>
          </w:p>
        </w:tc>
      </w:tr>
      <w:tr w:rsidR="00167806" w:rsidRPr="004D465A" w14:paraId="091E91FF" w14:textId="77777777" w:rsidTr="008F587A">
        <w:tc>
          <w:tcPr>
            <w:tcW w:w="419" w:type="dxa"/>
            <w:tcBorders>
              <w:left w:val="single" w:sz="4" w:space="0" w:color="000000"/>
              <w:bottom w:val="single" w:sz="4" w:space="0" w:color="000000"/>
            </w:tcBorders>
          </w:tcPr>
          <w:p w14:paraId="1B10C597" w14:textId="7A611D07" w:rsidR="00167806" w:rsidRPr="004D465A" w:rsidRDefault="008F587A" w:rsidP="004D465A">
            <w:pPr>
              <w:pStyle w:val="TableContents"/>
              <w:spacing w:after="0"/>
              <w:jc w:val="center"/>
              <w:rPr>
                <w:rFonts w:ascii="Times New Roman" w:hAnsi="Times New Roman"/>
              </w:rPr>
            </w:pPr>
            <w:r w:rsidRPr="004D465A">
              <w:rPr>
                <w:rFonts w:ascii="Times New Roman" w:hAnsi="Times New Roman"/>
              </w:rPr>
              <w:t>3</w:t>
            </w:r>
            <w:r w:rsidR="00167806" w:rsidRPr="004D465A">
              <w:rPr>
                <w:rFonts w:ascii="Times New Roman" w:hAnsi="Times New Roman"/>
              </w:rPr>
              <w:t>‍</w:t>
            </w:r>
          </w:p>
        </w:tc>
        <w:tc>
          <w:tcPr>
            <w:tcW w:w="5478" w:type="dxa"/>
            <w:tcBorders>
              <w:left w:val="single" w:sz="4" w:space="0" w:color="000000"/>
              <w:bottom w:val="single" w:sz="4" w:space="0" w:color="000000"/>
            </w:tcBorders>
          </w:tcPr>
          <w:p w14:paraId="6D78F6F0"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second Civil Engineer/ Architect</w:t>
            </w:r>
          </w:p>
        </w:tc>
        <w:tc>
          <w:tcPr>
            <w:tcW w:w="3164" w:type="dxa"/>
            <w:tcBorders>
              <w:left w:val="single" w:sz="4" w:space="0" w:color="000000"/>
              <w:bottom w:val="single" w:sz="4" w:space="0" w:color="000000"/>
              <w:right w:val="single" w:sz="4" w:space="0" w:color="000000"/>
            </w:tcBorders>
          </w:tcPr>
          <w:p w14:paraId="54A64129" w14:textId="5A0CA35E" w:rsidR="00167806" w:rsidRPr="004D465A" w:rsidRDefault="008F587A" w:rsidP="004D465A">
            <w:pPr>
              <w:pStyle w:val="TableContents"/>
              <w:spacing w:after="0"/>
              <w:jc w:val="center"/>
              <w:rPr>
                <w:rFonts w:ascii="Times New Roman" w:hAnsi="Times New Roman"/>
                <w:b/>
                <w:bCs/>
              </w:rPr>
            </w:pPr>
            <w:r w:rsidRPr="004D465A">
              <w:rPr>
                <w:rFonts w:ascii="Times New Roman" w:hAnsi="Times New Roman"/>
                <w:b/>
                <w:bCs/>
              </w:rPr>
              <w:t xml:space="preserve">June </w:t>
            </w:r>
            <w:r w:rsidR="00167806" w:rsidRPr="004D465A">
              <w:rPr>
                <w:rFonts w:ascii="Times New Roman" w:hAnsi="Times New Roman"/>
                <w:b/>
                <w:bCs/>
              </w:rPr>
              <w:t>2024</w:t>
            </w:r>
          </w:p>
        </w:tc>
      </w:tr>
      <w:tr w:rsidR="00167806" w:rsidRPr="004D465A" w14:paraId="7ACF9928" w14:textId="77777777" w:rsidTr="008F587A">
        <w:tc>
          <w:tcPr>
            <w:tcW w:w="419" w:type="dxa"/>
            <w:tcBorders>
              <w:left w:val="single" w:sz="4" w:space="0" w:color="000000"/>
              <w:bottom w:val="single" w:sz="4" w:space="0" w:color="000000"/>
            </w:tcBorders>
          </w:tcPr>
          <w:p w14:paraId="74D39DC7" w14:textId="52F9ACBE" w:rsidR="00167806" w:rsidRPr="004D465A" w:rsidRDefault="00167806" w:rsidP="004D465A">
            <w:pPr>
              <w:pStyle w:val="TableContents"/>
              <w:spacing w:after="0"/>
              <w:jc w:val="center"/>
              <w:rPr>
                <w:rFonts w:ascii="Times New Roman" w:hAnsi="Times New Roman"/>
              </w:rPr>
            </w:pPr>
            <w:r w:rsidRPr="004D465A">
              <w:rPr>
                <w:rFonts w:ascii="Times New Roman" w:hAnsi="Times New Roman"/>
              </w:rPr>
              <w:t>‍</w:t>
            </w:r>
            <w:r w:rsidR="008F587A" w:rsidRPr="004D465A">
              <w:rPr>
                <w:rFonts w:ascii="Times New Roman" w:hAnsi="Times New Roman"/>
              </w:rPr>
              <w:t>4</w:t>
            </w:r>
          </w:p>
        </w:tc>
        <w:tc>
          <w:tcPr>
            <w:tcW w:w="5478" w:type="dxa"/>
            <w:tcBorders>
              <w:left w:val="single" w:sz="4" w:space="0" w:color="000000"/>
              <w:bottom w:val="single" w:sz="4" w:space="0" w:color="000000"/>
            </w:tcBorders>
          </w:tcPr>
          <w:p w14:paraId="7558D9B2"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Project Coordinator and Visibility Officer</w:t>
            </w:r>
          </w:p>
        </w:tc>
        <w:tc>
          <w:tcPr>
            <w:tcW w:w="3164" w:type="dxa"/>
            <w:tcBorders>
              <w:left w:val="single" w:sz="4" w:space="0" w:color="000000"/>
              <w:bottom w:val="single" w:sz="4" w:space="0" w:color="000000"/>
              <w:right w:val="single" w:sz="4" w:space="0" w:color="000000"/>
            </w:tcBorders>
          </w:tcPr>
          <w:p w14:paraId="6CA46BFC" w14:textId="14D8E00D" w:rsidR="00167806" w:rsidRPr="004D465A" w:rsidRDefault="008F587A" w:rsidP="004D465A">
            <w:pPr>
              <w:pStyle w:val="TableContents"/>
              <w:spacing w:after="0"/>
              <w:jc w:val="center"/>
              <w:rPr>
                <w:rFonts w:ascii="Times New Roman" w:hAnsi="Times New Roman"/>
                <w:b/>
                <w:bCs/>
              </w:rPr>
            </w:pPr>
            <w:r w:rsidRPr="004D465A">
              <w:rPr>
                <w:rFonts w:ascii="Times New Roman" w:hAnsi="Times New Roman"/>
                <w:b/>
                <w:bCs/>
              </w:rPr>
              <w:t xml:space="preserve">June </w:t>
            </w:r>
            <w:r w:rsidR="00167806" w:rsidRPr="004D465A">
              <w:rPr>
                <w:rFonts w:ascii="Times New Roman" w:hAnsi="Times New Roman"/>
                <w:b/>
                <w:bCs/>
              </w:rPr>
              <w:t>2024</w:t>
            </w:r>
          </w:p>
        </w:tc>
      </w:tr>
      <w:tr w:rsidR="00167806" w:rsidRPr="004D465A" w14:paraId="477A784F" w14:textId="77777777" w:rsidTr="008F587A">
        <w:tc>
          <w:tcPr>
            <w:tcW w:w="419" w:type="dxa"/>
            <w:tcBorders>
              <w:left w:val="single" w:sz="4" w:space="0" w:color="000000"/>
              <w:bottom w:val="single" w:sz="4" w:space="0" w:color="000000"/>
            </w:tcBorders>
          </w:tcPr>
          <w:p w14:paraId="0933820E" w14:textId="4A57CFED" w:rsidR="00167806" w:rsidRPr="004D465A" w:rsidRDefault="00167806" w:rsidP="004D465A">
            <w:pPr>
              <w:pStyle w:val="TableContents"/>
              <w:spacing w:after="0"/>
              <w:jc w:val="center"/>
              <w:rPr>
                <w:rFonts w:ascii="Times New Roman" w:hAnsi="Times New Roman"/>
              </w:rPr>
            </w:pPr>
            <w:r w:rsidRPr="004D465A">
              <w:rPr>
                <w:rFonts w:ascii="Times New Roman" w:hAnsi="Times New Roman"/>
              </w:rPr>
              <w:t>‍</w:t>
            </w:r>
            <w:r w:rsidR="008F587A" w:rsidRPr="004D465A">
              <w:rPr>
                <w:rFonts w:ascii="Times New Roman" w:hAnsi="Times New Roman"/>
              </w:rPr>
              <w:t>5</w:t>
            </w:r>
          </w:p>
        </w:tc>
        <w:tc>
          <w:tcPr>
            <w:tcW w:w="5478" w:type="dxa"/>
            <w:tcBorders>
              <w:left w:val="single" w:sz="4" w:space="0" w:color="000000"/>
              <w:bottom w:val="single" w:sz="4" w:space="0" w:color="000000"/>
            </w:tcBorders>
          </w:tcPr>
          <w:p w14:paraId="18110391" w14:textId="7FD799FB"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company for visibility activities</w:t>
            </w:r>
          </w:p>
        </w:tc>
        <w:tc>
          <w:tcPr>
            <w:tcW w:w="3164" w:type="dxa"/>
            <w:tcBorders>
              <w:left w:val="single" w:sz="4" w:space="0" w:color="000000"/>
              <w:bottom w:val="single" w:sz="4" w:space="0" w:color="000000"/>
              <w:right w:val="single" w:sz="4" w:space="0" w:color="000000"/>
            </w:tcBorders>
          </w:tcPr>
          <w:p w14:paraId="5FC29928" w14:textId="721D3875" w:rsidR="00167806" w:rsidRPr="004D465A" w:rsidRDefault="00167806" w:rsidP="004D465A">
            <w:pPr>
              <w:pStyle w:val="TableContents"/>
              <w:spacing w:after="0"/>
              <w:rPr>
                <w:rFonts w:ascii="Times New Roman" w:hAnsi="Times New Roman"/>
                <w:b/>
                <w:bCs/>
              </w:rPr>
            </w:pPr>
            <w:r w:rsidRPr="004D465A">
              <w:rPr>
                <w:rFonts w:ascii="Times New Roman" w:hAnsi="Times New Roman"/>
                <w:b/>
                <w:bCs/>
              </w:rPr>
              <w:t xml:space="preserve">                   </w:t>
            </w:r>
            <w:r w:rsidR="008F587A" w:rsidRPr="004D465A">
              <w:rPr>
                <w:rFonts w:ascii="Times New Roman" w:hAnsi="Times New Roman"/>
                <w:b/>
                <w:bCs/>
              </w:rPr>
              <w:t xml:space="preserve">June </w:t>
            </w:r>
            <w:r w:rsidRPr="004D465A">
              <w:rPr>
                <w:rFonts w:ascii="Times New Roman" w:hAnsi="Times New Roman"/>
                <w:b/>
                <w:bCs/>
              </w:rPr>
              <w:t>2024</w:t>
            </w:r>
          </w:p>
        </w:tc>
      </w:tr>
      <w:tr w:rsidR="00167806" w:rsidRPr="004D465A" w14:paraId="4863A621" w14:textId="77777777" w:rsidTr="008F587A">
        <w:tc>
          <w:tcPr>
            <w:tcW w:w="419" w:type="dxa"/>
            <w:tcBorders>
              <w:left w:val="single" w:sz="4" w:space="0" w:color="000000"/>
              <w:bottom w:val="single" w:sz="4" w:space="0" w:color="000000"/>
            </w:tcBorders>
          </w:tcPr>
          <w:p w14:paraId="4066544D" w14:textId="40C8D4ED" w:rsidR="00167806" w:rsidRPr="004D465A" w:rsidRDefault="008F587A" w:rsidP="004D465A">
            <w:pPr>
              <w:pStyle w:val="TableContents"/>
              <w:spacing w:after="0"/>
              <w:jc w:val="center"/>
              <w:rPr>
                <w:rFonts w:ascii="Times New Roman" w:hAnsi="Times New Roman"/>
              </w:rPr>
            </w:pPr>
            <w:r w:rsidRPr="004D465A">
              <w:rPr>
                <w:rFonts w:ascii="Times New Roman" w:hAnsi="Times New Roman"/>
              </w:rPr>
              <w:t>6</w:t>
            </w:r>
            <w:r w:rsidR="00167806" w:rsidRPr="004D465A">
              <w:rPr>
                <w:rFonts w:ascii="Times New Roman" w:hAnsi="Times New Roman"/>
              </w:rPr>
              <w:t>‍</w:t>
            </w:r>
          </w:p>
        </w:tc>
        <w:tc>
          <w:tcPr>
            <w:tcW w:w="5478" w:type="dxa"/>
            <w:tcBorders>
              <w:left w:val="single" w:sz="4" w:space="0" w:color="000000"/>
              <w:bottom w:val="single" w:sz="4" w:space="0" w:color="000000"/>
            </w:tcBorders>
          </w:tcPr>
          <w:p w14:paraId="30BCF380"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Dosser for preparation of the Design</w:t>
            </w:r>
          </w:p>
        </w:tc>
        <w:tc>
          <w:tcPr>
            <w:tcW w:w="3164" w:type="dxa"/>
            <w:tcBorders>
              <w:left w:val="single" w:sz="4" w:space="0" w:color="000000"/>
              <w:bottom w:val="single" w:sz="4" w:space="0" w:color="000000"/>
              <w:right w:val="single" w:sz="4" w:space="0" w:color="000000"/>
            </w:tcBorders>
          </w:tcPr>
          <w:p w14:paraId="5BD6540F" w14:textId="551A4C26" w:rsidR="00167806" w:rsidRPr="004D465A" w:rsidRDefault="008F587A" w:rsidP="004D465A">
            <w:pPr>
              <w:pStyle w:val="TableContents"/>
              <w:spacing w:after="0"/>
              <w:jc w:val="center"/>
              <w:rPr>
                <w:rFonts w:ascii="Times New Roman" w:hAnsi="Times New Roman"/>
                <w:b/>
                <w:bCs/>
              </w:rPr>
            </w:pPr>
            <w:r w:rsidRPr="004D465A">
              <w:rPr>
                <w:rFonts w:ascii="Times New Roman" w:hAnsi="Times New Roman"/>
                <w:b/>
                <w:bCs/>
              </w:rPr>
              <w:t>August</w:t>
            </w:r>
            <w:r w:rsidR="00167806" w:rsidRPr="004D465A">
              <w:rPr>
                <w:rFonts w:ascii="Times New Roman" w:hAnsi="Times New Roman"/>
                <w:b/>
                <w:bCs/>
              </w:rPr>
              <w:t xml:space="preserve"> 2024</w:t>
            </w:r>
          </w:p>
        </w:tc>
      </w:tr>
      <w:tr w:rsidR="00167806" w:rsidRPr="004D465A" w14:paraId="1A53C3A8" w14:textId="77777777" w:rsidTr="008F587A">
        <w:tc>
          <w:tcPr>
            <w:tcW w:w="419" w:type="dxa"/>
            <w:tcBorders>
              <w:left w:val="single" w:sz="4" w:space="0" w:color="000000"/>
              <w:bottom w:val="single" w:sz="4" w:space="0" w:color="000000"/>
            </w:tcBorders>
          </w:tcPr>
          <w:p w14:paraId="31E9224C" w14:textId="5AF53774" w:rsidR="00167806" w:rsidRPr="004D465A" w:rsidRDefault="00167806" w:rsidP="004D465A">
            <w:pPr>
              <w:pStyle w:val="TableContents"/>
              <w:spacing w:after="0"/>
              <w:jc w:val="center"/>
              <w:rPr>
                <w:rFonts w:ascii="Times New Roman" w:hAnsi="Times New Roman"/>
              </w:rPr>
            </w:pPr>
            <w:r w:rsidRPr="004D465A">
              <w:rPr>
                <w:rFonts w:ascii="Times New Roman" w:hAnsi="Times New Roman"/>
              </w:rPr>
              <w:t>‍</w:t>
            </w:r>
            <w:r w:rsidR="008F587A" w:rsidRPr="004D465A">
              <w:rPr>
                <w:rFonts w:ascii="Times New Roman" w:hAnsi="Times New Roman"/>
              </w:rPr>
              <w:t>7</w:t>
            </w:r>
          </w:p>
        </w:tc>
        <w:tc>
          <w:tcPr>
            <w:tcW w:w="5478" w:type="dxa"/>
            <w:tcBorders>
              <w:left w:val="single" w:sz="4" w:space="0" w:color="000000"/>
              <w:bottom w:val="single" w:sz="4" w:space="0" w:color="000000"/>
            </w:tcBorders>
          </w:tcPr>
          <w:p w14:paraId="57D57D13"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Design Review</w:t>
            </w:r>
          </w:p>
        </w:tc>
        <w:tc>
          <w:tcPr>
            <w:tcW w:w="3164" w:type="dxa"/>
            <w:tcBorders>
              <w:left w:val="single" w:sz="4" w:space="0" w:color="000000"/>
              <w:bottom w:val="single" w:sz="4" w:space="0" w:color="000000"/>
              <w:right w:val="single" w:sz="4" w:space="0" w:color="000000"/>
            </w:tcBorders>
          </w:tcPr>
          <w:p w14:paraId="342C15F9" w14:textId="0FDC1162" w:rsidR="00167806" w:rsidRPr="004D465A" w:rsidRDefault="008F587A" w:rsidP="004D465A">
            <w:pPr>
              <w:pStyle w:val="TableContents"/>
              <w:spacing w:after="0"/>
              <w:jc w:val="center"/>
              <w:rPr>
                <w:rFonts w:ascii="Times New Roman" w:hAnsi="Times New Roman"/>
                <w:b/>
                <w:bCs/>
              </w:rPr>
            </w:pPr>
            <w:r w:rsidRPr="004D465A">
              <w:rPr>
                <w:rFonts w:ascii="Times New Roman" w:hAnsi="Times New Roman"/>
                <w:b/>
                <w:bCs/>
              </w:rPr>
              <w:t>November</w:t>
            </w:r>
            <w:r w:rsidR="00167806" w:rsidRPr="004D465A">
              <w:rPr>
                <w:rFonts w:ascii="Times New Roman" w:hAnsi="Times New Roman"/>
                <w:b/>
                <w:bCs/>
              </w:rPr>
              <w:t xml:space="preserve"> 2024</w:t>
            </w:r>
          </w:p>
        </w:tc>
      </w:tr>
      <w:tr w:rsidR="00167806" w:rsidRPr="004D465A" w14:paraId="60F30C1B" w14:textId="77777777" w:rsidTr="008F587A">
        <w:tc>
          <w:tcPr>
            <w:tcW w:w="419" w:type="dxa"/>
            <w:tcBorders>
              <w:left w:val="single" w:sz="4" w:space="0" w:color="000000"/>
              <w:bottom w:val="single" w:sz="4" w:space="0" w:color="000000"/>
            </w:tcBorders>
          </w:tcPr>
          <w:p w14:paraId="1A85C17A" w14:textId="2348BC74" w:rsidR="00167806" w:rsidRPr="004D465A" w:rsidRDefault="008F587A" w:rsidP="004D465A">
            <w:pPr>
              <w:pStyle w:val="TableContents"/>
              <w:spacing w:after="0"/>
              <w:jc w:val="center"/>
              <w:rPr>
                <w:rFonts w:ascii="Times New Roman" w:hAnsi="Times New Roman"/>
              </w:rPr>
            </w:pPr>
            <w:r w:rsidRPr="004D465A">
              <w:rPr>
                <w:rFonts w:ascii="Times New Roman" w:hAnsi="Times New Roman"/>
              </w:rPr>
              <w:t>8</w:t>
            </w:r>
            <w:r w:rsidR="00167806" w:rsidRPr="004D465A">
              <w:rPr>
                <w:rFonts w:ascii="Times New Roman" w:hAnsi="Times New Roman"/>
              </w:rPr>
              <w:t>‍</w:t>
            </w:r>
          </w:p>
        </w:tc>
        <w:tc>
          <w:tcPr>
            <w:tcW w:w="5478" w:type="dxa"/>
            <w:tcBorders>
              <w:left w:val="single" w:sz="4" w:space="0" w:color="000000"/>
              <w:bottom w:val="single" w:sz="4" w:space="0" w:color="000000"/>
            </w:tcBorders>
          </w:tcPr>
          <w:p w14:paraId="185C16B3"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first Civil Engineer</w:t>
            </w:r>
          </w:p>
        </w:tc>
        <w:tc>
          <w:tcPr>
            <w:tcW w:w="3164" w:type="dxa"/>
            <w:tcBorders>
              <w:left w:val="single" w:sz="4" w:space="0" w:color="000000"/>
              <w:bottom w:val="single" w:sz="4" w:space="0" w:color="000000"/>
              <w:right w:val="single" w:sz="4" w:space="0" w:color="000000"/>
            </w:tcBorders>
          </w:tcPr>
          <w:p w14:paraId="1FDF9F68" w14:textId="77777777" w:rsidR="00167806" w:rsidRPr="004D465A" w:rsidRDefault="00167806" w:rsidP="004D465A">
            <w:pPr>
              <w:pStyle w:val="TableContents"/>
              <w:spacing w:after="0"/>
              <w:jc w:val="center"/>
              <w:rPr>
                <w:rFonts w:ascii="Times New Roman" w:hAnsi="Times New Roman"/>
                <w:b/>
                <w:bCs/>
              </w:rPr>
            </w:pPr>
            <w:r w:rsidRPr="004D465A">
              <w:rPr>
                <w:rFonts w:ascii="Times New Roman" w:hAnsi="Times New Roman"/>
                <w:b/>
                <w:bCs/>
              </w:rPr>
              <w:t>March 2026</w:t>
            </w:r>
          </w:p>
        </w:tc>
      </w:tr>
      <w:tr w:rsidR="00167806" w:rsidRPr="004D465A" w14:paraId="5CAE2FFE" w14:textId="77777777" w:rsidTr="008F587A">
        <w:tc>
          <w:tcPr>
            <w:tcW w:w="419" w:type="dxa"/>
            <w:tcBorders>
              <w:left w:val="single" w:sz="4" w:space="0" w:color="000000"/>
              <w:bottom w:val="single" w:sz="4" w:space="0" w:color="000000"/>
            </w:tcBorders>
          </w:tcPr>
          <w:p w14:paraId="672451E8" w14:textId="5D14B5C9" w:rsidR="00167806" w:rsidRPr="004D465A" w:rsidRDefault="00167806" w:rsidP="004D465A">
            <w:pPr>
              <w:pStyle w:val="TableContents"/>
              <w:spacing w:after="0"/>
              <w:jc w:val="center"/>
              <w:rPr>
                <w:rFonts w:ascii="Times New Roman" w:hAnsi="Times New Roman"/>
              </w:rPr>
            </w:pPr>
            <w:r w:rsidRPr="004D465A">
              <w:rPr>
                <w:rFonts w:ascii="Times New Roman" w:hAnsi="Times New Roman"/>
              </w:rPr>
              <w:t>‍</w:t>
            </w:r>
            <w:r w:rsidR="008F587A" w:rsidRPr="004D465A">
              <w:rPr>
                <w:rFonts w:ascii="Times New Roman" w:hAnsi="Times New Roman"/>
              </w:rPr>
              <w:t>9</w:t>
            </w:r>
          </w:p>
        </w:tc>
        <w:tc>
          <w:tcPr>
            <w:tcW w:w="5478" w:type="dxa"/>
            <w:tcBorders>
              <w:left w:val="single" w:sz="4" w:space="0" w:color="000000"/>
              <w:bottom w:val="single" w:sz="4" w:space="0" w:color="000000"/>
            </w:tcBorders>
          </w:tcPr>
          <w:p w14:paraId="776712E9"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engaging the first Civil Engineer</w:t>
            </w:r>
          </w:p>
        </w:tc>
        <w:tc>
          <w:tcPr>
            <w:tcW w:w="3164" w:type="dxa"/>
            <w:tcBorders>
              <w:left w:val="single" w:sz="4" w:space="0" w:color="000000"/>
              <w:bottom w:val="single" w:sz="4" w:space="0" w:color="000000"/>
              <w:right w:val="single" w:sz="4" w:space="0" w:color="000000"/>
            </w:tcBorders>
          </w:tcPr>
          <w:p w14:paraId="484D687C" w14:textId="77777777" w:rsidR="00167806" w:rsidRPr="004D465A" w:rsidRDefault="00167806" w:rsidP="004D465A">
            <w:pPr>
              <w:pStyle w:val="TableContents"/>
              <w:spacing w:after="0"/>
              <w:jc w:val="center"/>
              <w:rPr>
                <w:rFonts w:ascii="Times New Roman" w:hAnsi="Times New Roman"/>
                <w:b/>
                <w:bCs/>
              </w:rPr>
            </w:pPr>
            <w:r w:rsidRPr="004D465A">
              <w:rPr>
                <w:rFonts w:ascii="Times New Roman" w:hAnsi="Times New Roman"/>
                <w:b/>
                <w:bCs/>
              </w:rPr>
              <w:t>March 2026</w:t>
            </w:r>
          </w:p>
        </w:tc>
      </w:tr>
      <w:tr w:rsidR="00167806" w:rsidRPr="004D465A" w14:paraId="16B70D14" w14:textId="77777777" w:rsidTr="008F587A">
        <w:tc>
          <w:tcPr>
            <w:tcW w:w="419" w:type="dxa"/>
            <w:tcBorders>
              <w:left w:val="single" w:sz="4" w:space="0" w:color="000000"/>
              <w:bottom w:val="single" w:sz="4" w:space="0" w:color="000000"/>
            </w:tcBorders>
          </w:tcPr>
          <w:p w14:paraId="21740009" w14:textId="565E76F5" w:rsidR="00167806" w:rsidRPr="004D465A" w:rsidRDefault="00167806" w:rsidP="004D465A">
            <w:pPr>
              <w:pStyle w:val="TableContents"/>
              <w:spacing w:after="0"/>
              <w:jc w:val="center"/>
              <w:rPr>
                <w:rFonts w:ascii="Times New Roman" w:hAnsi="Times New Roman"/>
              </w:rPr>
            </w:pPr>
            <w:r w:rsidRPr="004D465A">
              <w:rPr>
                <w:rFonts w:ascii="Times New Roman" w:hAnsi="Times New Roman"/>
              </w:rPr>
              <w:t>1</w:t>
            </w:r>
            <w:r w:rsidR="008F587A" w:rsidRPr="004D465A">
              <w:rPr>
                <w:rFonts w:ascii="Times New Roman" w:hAnsi="Times New Roman"/>
              </w:rPr>
              <w:t>0</w:t>
            </w:r>
            <w:r w:rsidRPr="004D465A">
              <w:rPr>
                <w:rFonts w:ascii="Times New Roman" w:hAnsi="Times New Roman"/>
              </w:rPr>
              <w:t>‍</w:t>
            </w:r>
          </w:p>
        </w:tc>
        <w:tc>
          <w:tcPr>
            <w:tcW w:w="5478" w:type="dxa"/>
            <w:tcBorders>
              <w:left w:val="single" w:sz="4" w:space="0" w:color="000000"/>
              <w:bottom w:val="single" w:sz="4" w:space="0" w:color="000000"/>
            </w:tcBorders>
          </w:tcPr>
          <w:p w14:paraId="7A322E29" w14:textId="77777777" w:rsidR="00167806" w:rsidRPr="004D465A" w:rsidRDefault="00167806" w:rsidP="004D465A">
            <w:pPr>
              <w:pStyle w:val="TableContents"/>
              <w:spacing w:after="0"/>
              <w:jc w:val="left"/>
              <w:rPr>
                <w:rFonts w:ascii="Times New Roman" w:hAnsi="Times New Roman"/>
              </w:rPr>
            </w:pPr>
            <w:r w:rsidRPr="004D465A">
              <w:rPr>
                <w:rFonts w:ascii="Times New Roman" w:hAnsi="Times New Roman"/>
              </w:rPr>
              <w:t>Tender Dossier for Supervision of the Works Contract</w:t>
            </w:r>
          </w:p>
        </w:tc>
        <w:tc>
          <w:tcPr>
            <w:tcW w:w="3164" w:type="dxa"/>
            <w:tcBorders>
              <w:left w:val="single" w:sz="4" w:space="0" w:color="000000"/>
              <w:bottom w:val="single" w:sz="4" w:space="0" w:color="000000"/>
              <w:right w:val="single" w:sz="4" w:space="0" w:color="000000"/>
            </w:tcBorders>
          </w:tcPr>
          <w:p w14:paraId="7221D360" w14:textId="77777777" w:rsidR="00167806" w:rsidRPr="004D465A" w:rsidRDefault="00167806" w:rsidP="004D465A">
            <w:pPr>
              <w:pStyle w:val="TableContents"/>
              <w:spacing w:after="0"/>
              <w:jc w:val="center"/>
              <w:rPr>
                <w:rFonts w:ascii="Times New Roman" w:hAnsi="Times New Roman"/>
                <w:b/>
                <w:bCs/>
              </w:rPr>
            </w:pPr>
            <w:r w:rsidRPr="004D465A">
              <w:rPr>
                <w:rFonts w:ascii="Times New Roman" w:hAnsi="Times New Roman"/>
                <w:b/>
                <w:bCs/>
              </w:rPr>
              <w:t>April 2026</w:t>
            </w:r>
          </w:p>
        </w:tc>
      </w:tr>
    </w:tbl>
    <w:p w14:paraId="077D6DD8" w14:textId="77777777" w:rsidR="0007024F" w:rsidRDefault="0007024F">
      <w:pPr>
        <w:suppressAutoHyphens w:val="0"/>
        <w:rPr>
          <w:rFonts w:ascii="Times New Roman" w:hAnsi="Times New Roman"/>
          <w:sz w:val="22"/>
          <w:szCs w:val="22"/>
        </w:rPr>
      </w:pPr>
    </w:p>
    <w:p w14:paraId="71EBA612" w14:textId="77777777" w:rsidR="0007024F" w:rsidRDefault="00127A4E">
      <w:pPr>
        <w:pStyle w:val="Heading1"/>
      </w:pPr>
      <w:bookmarkStart w:id="10" w:name="_Toc67320745"/>
      <w:r>
        <w:t>ASSUMPTIONS &amp; RISKS</w:t>
      </w:r>
      <w:bookmarkEnd w:id="10"/>
    </w:p>
    <w:p w14:paraId="784EFFFD" w14:textId="77777777" w:rsidR="0007024F" w:rsidRDefault="00127A4E" w:rsidP="00245C86">
      <w:pPr>
        <w:pStyle w:val="Heading2"/>
        <w:spacing w:after="0"/>
      </w:pPr>
      <w:bookmarkStart w:id="11" w:name="_Toc67320746"/>
      <w:r>
        <w:t>Assumptions underlying the project</w:t>
      </w:r>
      <w:bookmarkEnd w:id="11"/>
    </w:p>
    <w:p w14:paraId="09BF8C11" w14:textId="77777777" w:rsidR="0007024F" w:rsidRDefault="00127A4E">
      <w:pPr>
        <w:tabs>
          <w:tab w:val="left" w:pos="284"/>
        </w:tabs>
        <w:spacing w:before="58" w:after="0"/>
      </w:pPr>
      <w:r>
        <w:rPr>
          <w:rFonts w:ascii="Times New Roman" w:hAnsi="Times New Roman"/>
          <w:sz w:val="22"/>
          <w:szCs w:val="22"/>
          <w:lang w:val="en-US"/>
        </w:rPr>
        <w:t>The encountered assumptions behind the Project, matter of interest of these Terms of Reference are listed as follows:</w:t>
      </w:r>
    </w:p>
    <w:p w14:paraId="146D2518" w14:textId="1326E85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Excellent, timely and </w:t>
      </w:r>
      <w:r w:rsidR="00E219AE">
        <w:rPr>
          <w:rFonts w:ascii="Times New Roman" w:hAnsi="Times New Roman"/>
          <w:sz w:val="22"/>
          <w:szCs w:val="22"/>
        </w:rPr>
        <w:t>smooth</w:t>
      </w:r>
      <w:r>
        <w:rPr>
          <w:rFonts w:ascii="Times New Roman" w:hAnsi="Times New Roman"/>
          <w:sz w:val="22"/>
          <w:szCs w:val="22"/>
        </w:rPr>
        <w:t xml:space="preserve"> communication and cooperation between all involved relevant stakeholders and </w:t>
      </w:r>
      <w:r w:rsidR="00E219AE">
        <w:rPr>
          <w:rFonts w:ascii="Times New Roman" w:hAnsi="Times New Roman"/>
          <w:sz w:val="22"/>
          <w:szCs w:val="22"/>
        </w:rPr>
        <w:t>counterparts.</w:t>
      </w:r>
    </w:p>
    <w:p w14:paraId="3A34D70C"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Support and commitment of all relevant governmental institutions and of all international stakeholders;</w:t>
      </w:r>
    </w:p>
    <w:p w14:paraId="182AAC39"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Stable political and social environment;</w:t>
      </w:r>
    </w:p>
    <w:p w14:paraId="381DB769"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Adequate human and financial resources are made available to ensure proper execution of the Service Contract;</w:t>
      </w:r>
    </w:p>
    <w:p w14:paraId="67121387"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The design, technical specifications and drawings are adequate; </w:t>
      </w:r>
    </w:p>
    <w:p w14:paraId="3B8420D2"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National budget resources available;</w:t>
      </w:r>
    </w:p>
    <w:p w14:paraId="56EBFF04"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The contracts are managed correctly.</w:t>
      </w:r>
    </w:p>
    <w:p w14:paraId="36A3176B" w14:textId="77777777" w:rsidR="0007024F" w:rsidRDefault="0007024F" w:rsidP="004D465A">
      <w:pPr>
        <w:tabs>
          <w:tab w:val="left" w:pos="567"/>
        </w:tabs>
        <w:spacing w:before="58" w:after="0"/>
        <w:ind w:left="567" w:hanging="425"/>
        <w:rPr>
          <w:rFonts w:ascii="Times New Roman" w:hAnsi="Times New Roman"/>
          <w:sz w:val="22"/>
          <w:szCs w:val="22"/>
        </w:rPr>
      </w:pPr>
    </w:p>
    <w:p w14:paraId="29C62AFB" w14:textId="77777777" w:rsidR="0007024F" w:rsidRDefault="00127A4E" w:rsidP="00245C86">
      <w:pPr>
        <w:pStyle w:val="Heading2"/>
        <w:spacing w:after="0"/>
      </w:pPr>
      <w:bookmarkStart w:id="12" w:name="_Toc67320747"/>
      <w:r>
        <w:t>Risks</w:t>
      </w:r>
      <w:bookmarkEnd w:id="12"/>
    </w:p>
    <w:p w14:paraId="326BA11F" w14:textId="77777777" w:rsidR="0007024F" w:rsidRDefault="00127A4E">
      <w:pPr>
        <w:spacing w:before="60" w:after="60"/>
        <w:rPr>
          <w:rFonts w:ascii="Times New Roman" w:hAnsi="Times New Roman"/>
          <w:sz w:val="22"/>
          <w:szCs w:val="22"/>
        </w:rPr>
      </w:pPr>
      <w:r>
        <w:rPr>
          <w:rFonts w:ascii="Times New Roman" w:hAnsi="Times New Roman"/>
          <w:sz w:val="22"/>
          <w:szCs w:val="22"/>
        </w:rPr>
        <w:t xml:space="preserve">The Contractor shall ensure that risks are identified, recorded and regularly submitted to the Contracting Authority for consideration. A risk management cycle must be included in the Annex III - Organisation </w:t>
      </w:r>
      <w:r>
        <w:rPr>
          <w:rFonts w:ascii="Times New Roman" w:hAnsi="Times New Roman"/>
          <w:sz w:val="22"/>
          <w:szCs w:val="22"/>
        </w:rPr>
        <w:lastRenderedPageBreak/>
        <w:t xml:space="preserve">and Methodology of the Tender and further developed in the Inception Report, clearly specifying who, how and when will deal with risks and take the necessary decisions at different management levels. </w:t>
      </w:r>
    </w:p>
    <w:p w14:paraId="6610F61B" w14:textId="77777777" w:rsidR="0007024F" w:rsidRDefault="00127A4E">
      <w:pPr>
        <w:spacing w:before="60" w:after="60"/>
        <w:rPr>
          <w:rFonts w:ascii="Times New Roman" w:hAnsi="Times New Roman"/>
          <w:sz w:val="22"/>
          <w:szCs w:val="22"/>
        </w:rPr>
      </w:pPr>
      <w:r>
        <w:rPr>
          <w:rFonts w:ascii="Times New Roman" w:hAnsi="Times New Roman"/>
          <w:sz w:val="22"/>
          <w:szCs w:val="22"/>
        </w:rPr>
        <w:t xml:space="preserve">The following are key risks to be taken into account:  </w:t>
      </w:r>
    </w:p>
    <w:p w14:paraId="33BE4D77" w14:textId="77777777" w:rsidR="0007024F" w:rsidRDefault="00127A4E">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Risks occur in case the assumptions listed above (Section 3.1) are not met during the project preparation and implementation;</w:t>
      </w:r>
    </w:p>
    <w:p w14:paraId="26AE9809" w14:textId="77777777" w:rsidR="0007024F" w:rsidRDefault="00127A4E">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Lack of support staff needed for project realisation;</w:t>
      </w:r>
    </w:p>
    <w:p w14:paraId="130B67E4" w14:textId="77777777" w:rsidR="0007024F" w:rsidRDefault="0007024F">
      <w:pPr>
        <w:spacing w:before="60" w:after="60"/>
        <w:ind w:left="283"/>
        <w:rPr>
          <w:rFonts w:ascii="Times New Roman" w:hAnsi="Times New Roman"/>
          <w:sz w:val="22"/>
          <w:szCs w:val="22"/>
        </w:rPr>
      </w:pPr>
    </w:p>
    <w:p w14:paraId="379D4868" w14:textId="77777777" w:rsidR="0007024F" w:rsidRDefault="00127A4E">
      <w:pPr>
        <w:pStyle w:val="Heading1"/>
      </w:pPr>
      <w:bookmarkStart w:id="13" w:name="_Toc67320748"/>
      <w:r>
        <w:t>SCOPE OF THE WORK</w:t>
      </w:r>
      <w:bookmarkEnd w:id="13"/>
    </w:p>
    <w:p w14:paraId="27EF8890" w14:textId="77777777" w:rsidR="0007024F" w:rsidRDefault="00127A4E">
      <w:pPr>
        <w:pStyle w:val="Heading2"/>
      </w:pPr>
      <w:bookmarkStart w:id="14" w:name="_Toc67320749"/>
      <w:r>
        <w:t>General</w:t>
      </w:r>
      <w:bookmarkEnd w:id="14"/>
    </w:p>
    <w:p w14:paraId="2B56BA6E" w14:textId="77777777" w:rsidR="0007024F" w:rsidRDefault="00127A4E">
      <w:pPr>
        <w:pStyle w:val="Heading3"/>
        <w:keepNext w:val="0"/>
      </w:pPr>
      <w:r>
        <w:t>Description of the assignment</w:t>
      </w:r>
    </w:p>
    <w:p w14:paraId="393AD7B1" w14:textId="77777777" w:rsidR="0007024F" w:rsidRPr="00245C86" w:rsidRDefault="00127A4E">
      <w:pPr>
        <w:rPr>
          <w:rFonts w:ascii="Times New Roman" w:hAnsi="Times New Roman"/>
        </w:rPr>
      </w:pPr>
      <w:r>
        <w:rPr>
          <w:rFonts w:ascii="Times New Roman" w:hAnsi="Times New Roman"/>
          <w:sz w:val="22"/>
          <w:szCs w:val="22"/>
        </w:rPr>
        <w:t xml:space="preserve">In the frame of this Project, the Customs Administration in the capacity of Partner 2 shall implement several different types of contracts in order to achieve the Project objective. Regarding the types of the contracts, in the Application Form as well as in the Procurement Plan are envisaged works contracts, supply contracts, service contracts and few service contracts that should be signed with the individual </w:t>
      </w:r>
      <w:r w:rsidRPr="00245C86">
        <w:rPr>
          <w:rFonts w:ascii="Times New Roman" w:hAnsi="Times New Roman"/>
          <w:sz w:val="22"/>
          <w:szCs w:val="22"/>
        </w:rPr>
        <w:t xml:space="preserve">experts that would support the Customs Administration in implementing the project activities. </w:t>
      </w:r>
    </w:p>
    <w:p w14:paraId="217170F4" w14:textId="3DF5C834" w:rsidR="0007024F" w:rsidRPr="00245C86" w:rsidRDefault="00127A4E">
      <w:pPr>
        <w:spacing w:after="0" w:line="218" w:lineRule="auto"/>
        <w:rPr>
          <w:rFonts w:ascii="Times New Roman" w:hAnsi="Times New Roman"/>
          <w:sz w:val="22"/>
          <w:szCs w:val="22"/>
        </w:rPr>
      </w:pPr>
      <w:r w:rsidRPr="00245C86">
        <w:rPr>
          <w:rFonts w:ascii="Times New Roman" w:hAnsi="Times New Roman"/>
          <w:sz w:val="22"/>
          <w:szCs w:val="22"/>
        </w:rPr>
        <w:t xml:space="preserve">Regarding the rules that should be followed during the implementation of these contracts, the Application Form clearly states that the PRAG rules (A Practical Guide to Contract Procedure for European Union External </w:t>
      </w:r>
      <w:r w:rsidR="00E219AE" w:rsidRPr="00245C86">
        <w:rPr>
          <w:rFonts w:ascii="Times New Roman" w:hAnsi="Times New Roman"/>
          <w:sz w:val="22"/>
          <w:szCs w:val="22"/>
        </w:rPr>
        <w:t>Actions) shall</w:t>
      </w:r>
      <w:r w:rsidRPr="00245C86">
        <w:rPr>
          <w:rFonts w:ascii="Times New Roman" w:hAnsi="Times New Roman"/>
          <w:sz w:val="22"/>
          <w:szCs w:val="22"/>
        </w:rPr>
        <w:t xml:space="preserve"> be followed during the implementation i.e. depending of the threshold of the contract a particular PRAG procedure will be followed.</w:t>
      </w:r>
    </w:p>
    <w:p w14:paraId="1806F757" w14:textId="77777777" w:rsidR="0007024F" w:rsidRPr="00245C86" w:rsidRDefault="0007024F">
      <w:pPr>
        <w:spacing w:after="0" w:line="218" w:lineRule="auto"/>
        <w:rPr>
          <w:rFonts w:ascii="Times New Roman" w:hAnsi="Times New Roman"/>
          <w:sz w:val="22"/>
          <w:szCs w:val="22"/>
        </w:rPr>
      </w:pPr>
    </w:p>
    <w:p w14:paraId="5E4B8F02" w14:textId="2065A724" w:rsidR="0007024F" w:rsidRPr="00245C86" w:rsidRDefault="00127A4E">
      <w:pPr>
        <w:rPr>
          <w:rFonts w:ascii="Times New Roman" w:hAnsi="Times New Roman"/>
          <w:sz w:val="22"/>
          <w:szCs w:val="22"/>
          <w:lang w:val="en-US"/>
        </w:rPr>
      </w:pPr>
      <w:r w:rsidRPr="00245C86">
        <w:rPr>
          <w:rFonts w:ascii="Times New Roman" w:hAnsi="Times New Roman"/>
          <w:sz w:val="22"/>
          <w:szCs w:val="22"/>
        </w:rPr>
        <w:t xml:space="preserve">The procurement expert </w:t>
      </w:r>
      <w:r w:rsidR="00E219AE" w:rsidRPr="00245C86">
        <w:rPr>
          <w:rFonts w:ascii="Times New Roman" w:hAnsi="Times New Roman"/>
          <w:sz w:val="22"/>
          <w:szCs w:val="22"/>
        </w:rPr>
        <w:t>will provide</w:t>
      </w:r>
      <w:r w:rsidRPr="00245C86">
        <w:rPr>
          <w:rFonts w:ascii="Times New Roman" w:hAnsi="Times New Roman"/>
          <w:sz w:val="22"/>
          <w:szCs w:val="22"/>
        </w:rPr>
        <w:t xml:space="preserve"> its advisory services in the tendering procedures for all of the envisaged contracts listed under Section </w:t>
      </w:r>
      <w:r w:rsidR="00E219AE" w:rsidRPr="00245C86">
        <w:rPr>
          <w:rFonts w:ascii="Times New Roman" w:hAnsi="Times New Roman"/>
          <w:sz w:val="22"/>
          <w:szCs w:val="22"/>
        </w:rPr>
        <w:t>2.3 -</w:t>
      </w:r>
      <w:r w:rsidRPr="00245C86">
        <w:rPr>
          <w:rFonts w:ascii="Times New Roman" w:hAnsi="Times New Roman"/>
          <w:sz w:val="22"/>
          <w:szCs w:val="22"/>
        </w:rPr>
        <w:t xml:space="preserve"> </w:t>
      </w:r>
      <w:bookmarkStart w:id="15" w:name="_Toc67320744_Copy_1_Copy_1"/>
      <w:r w:rsidRPr="00245C86">
        <w:rPr>
          <w:rFonts w:ascii="Times New Roman" w:hAnsi="Times New Roman"/>
          <w:sz w:val="22"/>
          <w:szCs w:val="22"/>
        </w:rPr>
        <w:t>Expected outputs to be achieved by the contractor</w:t>
      </w:r>
      <w:bookmarkEnd w:id="15"/>
      <w:r w:rsidRPr="00245C86">
        <w:rPr>
          <w:rFonts w:ascii="Times New Roman" w:hAnsi="Times New Roman"/>
          <w:sz w:val="22"/>
          <w:szCs w:val="22"/>
        </w:rPr>
        <w:t xml:space="preserve"> of this </w:t>
      </w:r>
      <w:proofErr w:type="spellStart"/>
      <w:r w:rsidRPr="00245C86">
        <w:rPr>
          <w:rFonts w:ascii="Times New Roman" w:hAnsi="Times New Roman"/>
          <w:sz w:val="22"/>
          <w:szCs w:val="22"/>
        </w:rPr>
        <w:t>ToR</w:t>
      </w:r>
      <w:proofErr w:type="spellEnd"/>
      <w:r w:rsidRPr="00245C86">
        <w:rPr>
          <w:rFonts w:ascii="Times New Roman" w:hAnsi="Times New Roman"/>
          <w:sz w:val="22"/>
          <w:szCs w:val="22"/>
        </w:rPr>
        <w:t>. The expert will also provide continuous support to Contracting authority during its assignment.</w:t>
      </w:r>
    </w:p>
    <w:p w14:paraId="13BA27BB" w14:textId="77777777" w:rsidR="0007024F" w:rsidRPr="00245C86" w:rsidRDefault="00127A4E">
      <w:pPr>
        <w:rPr>
          <w:rFonts w:ascii="Times New Roman" w:hAnsi="Times New Roman"/>
          <w:sz w:val="22"/>
          <w:szCs w:val="22"/>
        </w:rPr>
      </w:pPr>
      <w:r w:rsidRPr="00245C86">
        <w:rPr>
          <w:rFonts w:ascii="Times New Roman" w:hAnsi="Times New Roman"/>
          <w:sz w:val="22"/>
          <w:szCs w:val="22"/>
        </w:rPr>
        <w:t>Specifically, the Customs Administration will engage a Procurement expert in accordance with PRAG rules. This expert will provide advisory support to the Project Management Team by preparing necessary tender documentation for various contract types outlined in the Procurement Plan, aligning with the latest version of PRAG.</w:t>
      </w:r>
    </w:p>
    <w:p w14:paraId="09FDDA0F" w14:textId="5902EAAC" w:rsidR="0007024F" w:rsidRPr="00245C86" w:rsidRDefault="00127A4E" w:rsidP="00245C86">
      <w:pPr>
        <w:spacing w:after="0"/>
        <w:ind w:left="567" w:hanging="567"/>
        <w:rPr>
          <w:rFonts w:ascii="Times New Roman" w:hAnsi="Times New Roman"/>
          <w:sz w:val="22"/>
          <w:szCs w:val="22"/>
        </w:rPr>
      </w:pPr>
      <w:r w:rsidRPr="00245C86">
        <w:rPr>
          <w:rFonts w:ascii="Times New Roman" w:hAnsi="Times New Roman"/>
          <w:sz w:val="22"/>
          <w:szCs w:val="22"/>
        </w:rPr>
        <w:t>Geographical area to be covered</w:t>
      </w:r>
      <w:r w:rsidR="00245C86">
        <w:rPr>
          <w:rFonts w:ascii="Times New Roman" w:hAnsi="Times New Roman"/>
          <w:sz w:val="22"/>
          <w:szCs w:val="22"/>
        </w:rPr>
        <w:t xml:space="preserve">: </w:t>
      </w:r>
    </w:p>
    <w:p w14:paraId="6AA339C1" w14:textId="77777777" w:rsidR="0007024F" w:rsidRPr="00245C86" w:rsidRDefault="00127A4E">
      <w:pPr>
        <w:rPr>
          <w:rFonts w:ascii="Times New Roman" w:hAnsi="Times New Roman"/>
          <w:sz w:val="22"/>
          <w:szCs w:val="22"/>
        </w:rPr>
      </w:pPr>
      <w:r w:rsidRPr="00245C86">
        <w:rPr>
          <w:rFonts w:ascii="Times New Roman" w:hAnsi="Times New Roman"/>
          <w:sz w:val="22"/>
          <w:szCs w:val="22"/>
        </w:rPr>
        <w:t xml:space="preserve">The main activities of the project will be implemented in Skopje, Republic of North Macedonia as the </w:t>
      </w:r>
      <w:r w:rsidRPr="00245C86">
        <w:rPr>
          <w:rFonts w:ascii="Times New Roman" w:hAnsi="Times New Roman"/>
          <w:sz w:val="22"/>
          <w:szCs w:val="22"/>
          <w:lang w:val="en-US"/>
        </w:rPr>
        <w:t>Customs Administration</w:t>
      </w:r>
      <w:r w:rsidRPr="00245C86">
        <w:rPr>
          <w:rFonts w:ascii="Times New Roman" w:hAnsi="Times New Roman"/>
          <w:sz w:val="22"/>
          <w:szCs w:val="22"/>
        </w:rPr>
        <w:t xml:space="preserve"> HQ is located in Skopje. </w:t>
      </w:r>
    </w:p>
    <w:p w14:paraId="12EB85D2" w14:textId="77777777" w:rsidR="0007024F" w:rsidRDefault="00127A4E">
      <w:pPr>
        <w:pStyle w:val="Heading3"/>
        <w:keepNext w:val="0"/>
      </w:pPr>
      <w:r>
        <w:t>Target groups</w:t>
      </w:r>
    </w:p>
    <w:p w14:paraId="7079818F" w14:textId="77777777" w:rsidR="0007024F" w:rsidRDefault="00127A4E">
      <w:pPr>
        <w:rPr>
          <w:rFonts w:ascii="Times New Roman" w:hAnsi="Times New Roman"/>
          <w:sz w:val="22"/>
          <w:szCs w:val="22"/>
        </w:rPr>
      </w:pPr>
      <w:r>
        <w:rPr>
          <w:rFonts w:ascii="Times New Roman" w:hAnsi="Times New Roman"/>
          <w:sz w:val="22"/>
          <w:szCs w:val="22"/>
          <w:lang w:val="en-US"/>
        </w:rPr>
        <w:t>The Customs Administration</w:t>
      </w:r>
      <w:r>
        <w:rPr>
          <w:rFonts w:ascii="Times New Roman" w:hAnsi="Times New Roman"/>
          <w:sz w:val="22"/>
          <w:szCs w:val="22"/>
        </w:rPr>
        <w:t xml:space="preserve"> of </w:t>
      </w:r>
      <w:r>
        <w:rPr>
          <w:rFonts w:ascii="Times New Roman" w:hAnsi="Times New Roman"/>
          <w:sz w:val="22"/>
          <w:szCs w:val="22"/>
          <w:lang w:val="en-US"/>
        </w:rPr>
        <w:t xml:space="preserve">the </w:t>
      </w:r>
      <w:r>
        <w:rPr>
          <w:rFonts w:ascii="Times New Roman" w:hAnsi="Times New Roman"/>
          <w:sz w:val="22"/>
          <w:szCs w:val="22"/>
        </w:rPr>
        <w:t xml:space="preserve">Republic of North Macedonia is the Final Beneficiary of this project. On wider aspect the local population will directly benefit from this action, as it will facilitate the transport and border crossing between the two countries.  </w:t>
      </w:r>
    </w:p>
    <w:p w14:paraId="4AAB9826" w14:textId="77777777" w:rsidR="0007024F" w:rsidRPr="00245C86" w:rsidRDefault="00127A4E">
      <w:pPr>
        <w:ind w:left="499" w:hanging="499"/>
        <w:rPr>
          <w:rFonts w:ascii="Times New Roman" w:hAnsi="Times New Roman"/>
          <w:sz w:val="22"/>
          <w:szCs w:val="22"/>
          <w:lang w:val="en-US"/>
        </w:rPr>
      </w:pPr>
      <w:bookmarkStart w:id="16" w:name="_Toc67320750"/>
      <w:bookmarkStart w:id="17" w:name="_Ref20657225"/>
      <w:r w:rsidRPr="00245C86">
        <w:rPr>
          <w:rFonts w:ascii="Times New Roman" w:hAnsi="Times New Roman"/>
          <w:sz w:val="22"/>
          <w:szCs w:val="22"/>
          <w:lang w:val="en-US"/>
        </w:rPr>
        <w:t>Specific work</w:t>
      </w:r>
      <w:bookmarkEnd w:id="16"/>
      <w:bookmarkEnd w:id="17"/>
    </w:p>
    <w:p w14:paraId="33F8BD93" w14:textId="00676763" w:rsidR="0007024F" w:rsidRDefault="00127A4E">
      <w:pPr>
        <w:rPr>
          <w:rFonts w:ascii="Times New Roman" w:hAnsi="Times New Roman"/>
          <w:sz w:val="22"/>
          <w:szCs w:val="22"/>
        </w:rPr>
      </w:pPr>
      <w:r>
        <w:rPr>
          <w:rFonts w:ascii="Times New Roman" w:hAnsi="Times New Roman"/>
          <w:color w:val="000000"/>
          <w:sz w:val="22"/>
          <w:szCs w:val="22"/>
        </w:rPr>
        <w:t xml:space="preserve">- Initial review/ assessment of the documentation that will be provided by the Customs Administration in order </w:t>
      </w:r>
      <w:r w:rsidR="00245C86">
        <w:rPr>
          <w:rFonts w:ascii="Times New Roman" w:hAnsi="Times New Roman"/>
          <w:color w:val="000000"/>
          <w:sz w:val="22"/>
          <w:szCs w:val="22"/>
        </w:rPr>
        <w:t>to produce</w:t>
      </w:r>
      <w:r>
        <w:rPr>
          <w:rFonts w:ascii="Times New Roman" w:hAnsi="Times New Roman"/>
          <w:color w:val="000000"/>
          <w:sz w:val="22"/>
          <w:szCs w:val="22"/>
        </w:rPr>
        <w:t xml:space="preserve"> the tender documentation with sufficient quality</w:t>
      </w:r>
    </w:p>
    <w:p w14:paraId="688D8D16" w14:textId="1FFCFBD4" w:rsidR="0007024F" w:rsidRDefault="00127A4E">
      <w:pPr>
        <w:rPr>
          <w:rFonts w:ascii="Times New Roman" w:hAnsi="Times New Roman"/>
          <w:sz w:val="22"/>
          <w:szCs w:val="22"/>
        </w:rPr>
      </w:pPr>
      <w:r>
        <w:rPr>
          <w:rFonts w:ascii="Times New Roman" w:hAnsi="Times New Roman"/>
          <w:color w:val="000000"/>
          <w:sz w:val="22"/>
          <w:szCs w:val="22"/>
        </w:rPr>
        <w:t xml:space="preserve">- Ensure </w:t>
      </w:r>
      <w:r w:rsidR="00245C86">
        <w:rPr>
          <w:rFonts w:ascii="Times New Roman" w:hAnsi="Times New Roman"/>
          <w:color w:val="000000"/>
          <w:sz w:val="22"/>
          <w:szCs w:val="22"/>
        </w:rPr>
        <w:t>timely</w:t>
      </w:r>
      <w:r>
        <w:rPr>
          <w:rFonts w:ascii="Times New Roman" w:hAnsi="Times New Roman"/>
          <w:color w:val="000000"/>
          <w:sz w:val="22"/>
          <w:szCs w:val="22"/>
        </w:rPr>
        <w:t xml:space="preserve"> completion of the Tender Dossiers that are listed under Section </w:t>
      </w:r>
      <w:r w:rsidR="00E219AE">
        <w:rPr>
          <w:rFonts w:ascii="Times New Roman" w:hAnsi="Times New Roman"/>
          <w:color w:val="000000"/>
          <w:sz w:val="22"/>
          <w:szCs w:val="22"/>
        </w:rPr>
        <w:t>2.3 -</w:t>
      </w:r>
      <w:r>
        <w:rPr>
          <w:rFonts w:ascii="Times New Roman" w:hAnsi="Times New Roman"/>
          <w:color w:val="000000"/>
          <w:sz w:val="22"/>
          <w:szCs w:val="22"/>
        </w:rPr>
        <w:t xml:space="preserve"> </w:t>
      </w:r>
      <w:bookmarkStart w:id="18" w:name="_Toc67320744_Copy_1_Copy_1_Copy_1"/>
      <w:r>
        <w:rPr>
          <w:rFonts w:ascii="Times New Roman" w:hAnsi="Times New Roman"/>
          <w:color w:val="000000"/>
          <w:sz w:val="22"/>
          <w:szCs w:val="22"/>
        </w:rPr>
        <w:t>Expected outputs to be achieved by the contractor</w:t>
      </w:r>
      <w:bookmarkEnd w:id="18"/>
      <w:r>
        <w:rPr>
          <w:rFonts w:ascii="Times New Roman" w:hAnsi="Times New Roman"/>
          <w:color w:val="000000"/>
          <w:sz w:val="22"/>
          <w:szCs w:val="22"/>
        </w:rPr>
        <w:t xml:space="preserve"> of this </w:t>
      </w:r>
      <w:proofErr w:type="spellStart"/>
      <w:r>
        <w:rPr>
          <w:rFonts w:ascii="Times New Roman" w:hAnsi="Times New Roman"/>
          <w:color w:val="000000"/>
          <w:sz w:val="22"/>
          <w:szCs w:val="22"/>
        </w:rPr>
        <w:t>ToR</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I.e</w:t>
      </w:r>
      <w:proofErr w:type="spellEnd"/>
      <w:r>
        <w:rPr>
          <w:rFonts w:ascii="Times New Roman" w:hAnsi="Times New Roman"/>
          <w:color w:val="000000"/>
          <w:sz w:val="22"/>
          <w:szCs w:val="22"/>
        </w:rPr>
        <w:t xml:space="preserve"> the delivery of the Tender Dossier to be in line with the timelines set in the Procurement Plan</w:t>
      </w:r>
    </w:p>
    <w:p w14:paraId="196A7949" w14:textId="243C26E3" w:rsidR="0007024F" w:rsidRDefault="00127A4E">
      <w:pPr>
        <w:rPr>
          <w:rFonts w:ascii="Times New Roman" w:hAnsi="Times New Roman"/>
          <w:sz w:val="22"/>
          <w:szCs w:val="22"/>
        </w:rPr>
      </w:pPr>
      <w:r>
        <w:rPr>
          <w:rFonts w:ascii="Times New Roman" w:hAnsi="Times New Roman"/>
          <w:color w:val="000000"/>
          <w:sz w:val="22"/>
          <w:szCs w:val="22"/>
        </w:rPr>
        <w:t xml:space="preserve">-  Ensure that the Tender Dossiers that are listed under Section </w:t>
      </w:r>
      <w:r w:rsidR="00E219AE">
        <w:rPr>
          <w:rFonts w:ascii="Times New Roman" w:hAnsi="Times New Roman"/>
          <w:color w:val="000000"/>
          <w:sz w:val="22"/>
          <w:szCs w:val="22"/>
        </w:rPr>
        <w:t>2.3 -</w:t>
      </w:r>
      <w:r>
        <w:rPr>
          <w:rFonts w:ascii="Times New Roman" w:hAnsi="Times New Roman"/>
          <w:color w:val="000000"/>
          <w:sz w:val="22"/>
          <w:szCs w:val="22"/>
        </w:rPr>
        <w:t xml:space="preserve"> </w:t>
      </w:r>
      <w:bookmarkStart w:id="19" w:name="_Toc67320744_Copy_1_Copy_1_Copy_2"/>
      <w:r>
        <w:rPr>
          <w:rFonts w:ascii="Times New Roman" w:hAnsi="Times New Roman"/>
          <w:color w:val="000000"/>
          <w:sz w:val="22"/>
          <w:szCs w:val="22"/>
        </w:rPr>
        <w:t>Expected outputs to be achieved by the contractor</w:t>
      </w:r>
      <w:bookmarkEnd w:id="19"/>
      <w:r>
        <w:rPr>
          <w:rFonts w:ascii="Times New Roman" w:hAnsi="Times New Roman"/>
          <w:color w:val="000000"/>
          <w:sz w:val="22"/>
          <w:szCs w:val="22"/>
        </w:rPr>
        <w:t xml:space="preserve"> of this </w:t>
      </w:r>
      <w:proofErr w:type="spellStart"/>
      <w:r>
        <w:rPr>
          <w:rFonts w:ascii="Times New Roman" w:hAnsi="Times New Roman"/>
          <w:color w:val="000000"/>
          <w:sz w:val="22"/>
          <w:szCs w:val="22"/>
        </w:rPr>
        <w:t>ToR</w:t>
      </w:r>
      <w:proofErr w:type="spellEnd"/>
      <w:r>
        <w:rPr>
          <w:rFonts w:ascii="Times New Roman" w:hAnsi="Times New Roman"/>
          <w:color w:val="000000"/>
          <w:sz w:val="22"/>
          <w:szCs w:val="22"/>
        </w:rPr>
        <w:t xml:space="preserve"> are delivered in accordance with the EU PRAG rules</w:t>
      </w:r>
    </w:p>
    <w:p w14:paraId="24BB9567" w14:textId="7737F822" w:rsidR="0007024F" w:rsidRDefault="00127A4E">
      <w:pPr>
        <w:rPr>
          <w:rFonts w:ascii="Times New Roman" w:hAnsi="Times New Roman"/>
          <w:color w:val="000000"/>
          <w:sz w:val="22"/>
          <w:szCs w:val="22"/>
        </w:rPr>
      </w:pPr>
      <w:r>
        <w:rPr>
          <w:rFonts w:ascii="Times New Roman" w:hAnsi="Times New Roman"/>
          <w:color w:val="000000"/>
          <w:sz w:val="22"/>
          <w:szCs w:val="22"/>
        </w:rPr>
        <w:lastRenderedPageBreak/>
        <w:t xml:space="preserve">- The contractor will support the Customs Administration during the tendering procedures for the contracts listed Section 2.3 - </w:t>
      </w:r>
      <w:bookmarkStart w:id="20" w:name="_Toc67320744_Copy_1_Copy_2_Copy_1"/>
      <w:r>
        <w:rPr>
          <w:rFonts w:ascii="Times New Roman" w:hAnsi="Times New Roman"/>
          <w:color w:val="000000"/>
          <w:sz w:val="22"/>
          <w:szCs w:val="22"/>
        </w:rPr>
        <w:t>Expected outputs to be achieved by the contractor</w:t>
      </w:r>
      <w:bookmarkEnd w:id="20"/>
      <w:r>
        <w:rPr>
          <w:rFonts w:ascii="Times New Roman" w:hAnsi="Times New Roman"/>
          <w:color w:val="000000"/>
          <w:sz w:val="22"/>
          <w:szCs w:val="22"/>
        </w:rPr>
        <w:t xml:space="preserve"> of this </w:t>
      </w:r>
      <w:proofErr w:type="spellStart"/>
      <w:r>
        <w:rPr>
          <w:rFonts w:ascii="Times New Roman" w:hAnsi="Times New Roman"/>
          <w:color w:val="000000"/>
          <w:sz w:val="22"/>
          <w:szCs w:val="22"/>
        </w:rPr>
        <w:t>ToR</w:t>
      </w:r>
      <w:proofErr w:type="spellEnd"/>
      <w:r>
        <w:rPr>
          <w:rFonts w:ascii="Times New Roman" w:hAnsi="Times New Roman"/>
          <w:color w:val="000000"/>
          <w:sz w:val="22"/>
          <w:szCs w:val="22"/>
        </w:rPr>
        <w:t xml:space="preserve"> (</w:t>
      </w:r>
      <w:r w:rsidR="00245C86">
        <w:rPr>
          <w:rFonts w:ascii="Times New Roman" w:hAnsi="Times New Roman"/>
          <w:color w:val="000000"/>
          <w:sz w:val="22"/>
          <w:szCs w:val="22"/>
        </w:rPr>
        <w:t>support</w:t>
      </w:r>
      <w:r>
        <w:rPr>
          <w:rFonts w:ascii="Times New Roman" w:hAnsi="Times New Roman"/>
          <w:color w:val="000000"/>
          <w:sz w:val="22"/>
          <w:szCs w:val="22"/>
        </w:rPr>
        <w:t xml:space="preserve"> in drafting the answers to the questions from the tenderers, drafting Corrigenda, </w:t>
      </w:r>
      <w:r w:rsidR="00245C86">
        <w:rPr>
          <w:rFonts w:ascii="Times New Roman" w:hAnsi="Times New Roman"/>
          <w:color w:val="000000"/>
          <w:sz w:val="22"/>
          <w:szCs w:val="22"/>
        </w:rPr>
        <w:t>Cancellation</w:t>
      </w:r>
      <w:r>
        <w:rPr>
          <w:rFonts w:ascii="Times New Roman" w:hAnsi="Times New Roman"/>
          <w:color w:val="000000"/>
          <w:sz w:val="22"/>
          <w:szCs w:val="22"/>
        </w:rPr>
        <w:t xml:space="preserve"> Notice etc.</w:t>
      </w:r>
    </w:p>
    <w:p w14:paraId="4B5F4684" w14:textId="39373726" w:rsidR="0007024F" w:rsidRDefault="00127A4E">
      <w:pPr>
        <w:rPr>
          <w:rFonts w:ascii="Times New Roman" w:hAnsi="Times New Roman"/>
          <w:color w:val="000000"/>
          <w:sz w:val="22"/>
          <w:szCs w:val="22"/>
        </w:rPr>
      </w:pPr>
      <w:r>
        <w:rPr>
          <w:rFonts w:ascii="Times New Roman" w:hAnsi="Times New Roman"/>
          <w:color w:val="000000"/>
          <w:sz w:val="22"/>
          <w:szCs w:val="22"/>
        </w:rPr>
        <w:t>- Providing support during the implementation of the contracts in relation to PRAG, if needed</w:t>
      </w:r>
      <w:r w:rsidR="00245C86">
        <w:rPr>
          <w:rFonts w:ascii="Times New Roman" w:hAnsi="Times New Roman"/>
          <w:color w:val="000000"/>
          <w:sz w:val="22"/>
          <w:szCs w:val="22"/>
        </w:rPr>
        <w:t>.</w:t>
      </w:r>
    </w:p>
    <w:p w14:paraId="23AB972B" w14:textId="77777777" w:rsidR="008F587A" w:rsidRDefault="008F587A">
      <w:pPr>
        <w:rPr>
          <w:rFonts w:ascii="Times New Roman" w:hAnsi="Times New Roman"/>
          <w:sz w:val="22"/>
          <w:szCs w:val="22"/>
        </w:rPr>
      </w:pPr>
    </w:p>
    <w:p w14:paraId="0519FF05" w14:textId="77777777" w:rsidR="0007024F" w:rsidRDefault="00127A4E">
      <w:pPr>
        <w:ind w:left="499" w:hanging="499"/>
        <w:rPr>
          <w:rFonts w:ascii="Times New Roman" w:hAnsi="Times New Roman"/>
          <w:sz w:val="22"/>
          <w:szCs w:val="22"/>
        </w:rPr>
      </w:pPr>
      <w:r>
        <w:rPr>
          <w:rFonts w:ascii="Times New Roman" w:hAnsi="Times New Roman"/>
          <w:b/>
          <w:sz w:val="22"/>
          <w:szCs w:val="22"/>
        </w:rPr>
        <w:t xml:space="preserve">4.3 </w:t>
      </w:r>
      <w:bookmarkStart w:id="21" w:name="_Ref530906824_Copy_1"/>
      <w:bookmarkStart w:id="22" w:name="_Toc67320751_Copy_1"/>
      <w:r>
        <w:rPr>
          <w:rFonts w:ascii="Times New Roman" w:hAnsi="Times New Roman"/>
          <w:b/>
          <w:sz w:val="22"/>
          <w:szCs w:val="22"/>
        </w:rPr>
        <w:t>Project management</w:t>
      </w:r>
      <w:bookmarkEnd w:id="21"/>
      <w:bookmarkEnd w:id="22"/>
      <w:r>
        <w:rPr>
          <w:rFonts w:ascii="Times New Roman" w:hAnsi="Times New Roman"/>
          <w:b/>
          <w:sz w:val="22"/>
          <w:szCs w:val="22"/>
        </w:rPr>
        <w:t xml:space="preserve"> </w:t>
      </w:r>
      <w:bookmarkStart w:id="23" w:name="_Toc67320751"/>
      <w:bookmarkStart w:id="24" w:name="_Ref530906824"/>
      <w:bookmarkEnd w:id="23"/>
      <w:bookmarkEnd w:id="24"/>
    </w:p>
    <w:p w14:paraId="51590E80" w14:textId="77777777" w:rsidR="0007024F" w:rsidRDefault="00127A4E">
      <w:pPr>
        <w:pStyle w:val="Heading3"/>
        <w:keepNext w:val="0"/>
        <w:numPr>
          <w:ilvl w:val="0"/>
          <w:numId w:val="0"/>
        </w:numPr>
        <w:ind w:left="567"/>
      </w:pPr>
      <w:r>
        <w:t>4.3.1 Responsible body</w:t>
      </w:r>
    </w:p>
    <w:p w14:paraId="608E1A5E" w14:textId="77777777" w:rsidR="0007024F" w:rsidRDefault="00127A4E">
      <w:pPr>
        <w:pStyle w:val="Heading3"/>
        <w:numPr>
          <w:ilvl w:val="0"/>
          <w:numId w:val="0"/>
        </w:numPr>
        <w:spacing w:before="60" w:after="60"/>
        <w:rPr>
          <w:b w:val="0"/>
        </w:rPr>
      </w:pPr>
      <w:r>
        <w:rPr>
          <w:b w:val="0"/>
        </w:rPr>
        <w:t xml:space="preserve">The Contracting Authority will be the Customs Administration of the Republic of North Macedonia and will be responsible for all administrative and procedural aspects of the tendering process, contracting matters and financial management, including payment of project activities. </w:t>
      </w:r>
    </w:p>
    <w:p w14:paraId="46966822" w14:textId="77777777" w:rsidR="0007024F" w:rsidRDefault="0007024F"/>
    <w:p w14:paraId="1325ADFB" w14:textId="77777777" w:rsidR="0007024F" w:rsidRDefault="00127A4E">
      <w:pPr>
        <w:pStyle w:val="Heading3"/>
        <w:keepNext w:val="0"/>
        <w:numPr>
          <w:ilvl w:val="0"/>
          <w:numId w:val="0"/>
        </w:numPr>
        <w:ind w:left="567"/>
      </w:pPr>
      <w:r>
        <w:t>4.3.2 Management structure</w:t>
      </w:r>
    </w:p>
    <w:p w14:paraId="2790308E" w14:textId="77777777" w:rsidR="0007024F" w:rsidRDefault="00127A4E">
      <w:pPr>
        <w:rPr>
          <w:rFonts w:ascii="Times New Roman" w:hAnsi="Times New Roman"/>
          <w:sz w:val="22"/>
          <w:szCs w:val="22"/>
        </w:rPr>
      </w:pPr>
      <w:r w:rsidRPr="008F587A">
        <w:rPr>
          <w:rFonts w:ascii="Times New Roman" w:hAnsi="Times New Roman"/>
          <w:sz w:val="22"/>
          <w:szCs w:val="22"/>
        </w:rPr>
        <w:t xml:space="preserve">The Contractor shall work in close cooperation with the nominated staff of the Contracting Authority. </w:t>
      </w:r>
    </w:p>
    <w:p w14:paraId="2E41E68F" w14:textId="77777777" w:rsidR="0007024F" w:rsidRDefault="00127A4E">
      <w:pPr>
        <w:rPr>
          <w:rFonts w:ascii="Times New Roman" w:hAnsi="Times New Roman"/>
          <w:sz w:val="22"/>
          <w:szCs w:val="22"/>
        </w:rPr>
      </w:pPr>
      <w:r>
        <w:rPr>
          <w:rFonts w:ascii="Times New Roman" w:hAnsi="Times New Roman"/>
          <w:sz w:val="22"/>
          <w:szCs w:val="22"/>
        </w:rPr>
        <w:t xml:space="preserve">The prepared outputs shall be accepted by the Contracting Authority.  </w:t>
      </w:r>
    </w:p>
    <w:p w14:paraId="3136B69F" w14:textId="77777777" w:rsidR="0007024F" w:rsidRDefault="00127A4E">
      <w:pPr>
        <w:pStyle w:val="Heading3"/>
        <w:keepNext w:val="0"/>
        <w:numPr>
          <w:ilvl w:val="0"/>
          <w:numId w:val="0"/>
        </w:numPr>
        <w:ind w:left="567"/>
      </w:pPr>
      <w:r>
        <w:t>4.3.3. Facilities to be provided by the contracting authority and/or other parties</w:t>
      </w:r>
    </w:p>
    <w:p w14:paraId="1B08ADDB" w14:textId="77777777" w:rsidR="0007024F" w:rsidRDefault="00127A4E">
      <w:pPr>
        <w:spacing w:before="60" w:after="60"/>
        <w:rPr>
          <w:rFonts w:ascii="Times New Roman" w:hAnsi="Times New Roman"/>
          <w:sz w:val="22"/>
          <w:szCs w:val="22"/>
        </w:rPr>
      </w:pPr>
      <w:r>
        <w:rPr>
          <w:rFonts w:ascii="Times New Roman" w:hAnsi="Times New Roman"/>
          <w:sz w:val="22"/>
          <w:szCs w:val="22"/>
        </w:rPr>
        <w:t>The Contracting Authority shall supply the Contractor promptly with any useful information and/ or documentation which may be relevant to the performance of the Contract.</w:t>
      </w:r>
    </w:p>
    <w:p w14:paraId="55F9838C" w14:textId="77777777" w:rsidR="008F587A" w:rsidRDefault="008F587A">
      <w:pPr>
        <w:spacing w:before="60" w:after="60"/>
        <w:rPr>
          <w:rFonts w:ascii="Times New Roman" w:hAnsi="Times New Roman"/>
          <w:sz w:val="22"/>
          <w:szCs w:val="22"/>
        </w:rPr>
      </w:pPr>
    </w:p>
    <w:p w14:paraId="370277F6" w14:textId="77777777" w:rsidR="0007024F" w:rsidRDefault="00127A4E">
      <w:pPr>
        <w:pStyle w:val="Heading1"/>
      </w:pPr>
      <w:bookmarkStart w:id="25" w:name="_Toc67320752"/>
      <w:r>
        <w:t>LOGISTICS AND TIMING</w:t>
      </w:r>
      <w:bookmarkEnd w:id="25"/>
    </w:p>
    <w:p w14:paraId="74C0E431" w14:textId="77777777" w:rsidR="0007024F" w:rsidRDefault="00127A4E">
      <w:pPr>
        <w:pStyle w:val="Heading2"/>
      </w:pPr>
      <w:bookmarkStart w:id="26" w:name="_Toc67320753"/>
      <w:r>
        <w:t>Location</w:t>
      </w:r>
      <w:bookmarkEnd w:id="26"/>
    </w:p>
    <w:p w14:paraId="26FF251D" w14:textId="77777777" w:rsidR="0007024F" w:rsidRDefault="00127A4E">
      <w:pPr>
        <w:rPr>
          <w:rFonts w:ascii="Times New Roman" w:hAnsi="Times New Roman"/>
          <w:sz w:val="22"/>
          <w:szCs w:val="22"/>
        </w:rPr>
      </w:pPr>
      <w:r>
        <w:rPr>
          <w:rFonts w:ascii="Times New Roman" w:hAnsi="Times New Roman"/>
          <w:sz w:val="22"/>
          <w:szCs w:val="22"/>
        </w:rPr>
        <w:t xml:space="preserve">The main activities of the project will be implemented remotely or in Skopje, Republic of North Macedonia as the </w:t>
      </w:r>
      <w:r>
        <w:rPr>
          <w:rFonts w:ascii="Times New Roman" w:hAnsi="Times New Roman"/>
          <w:sz w:val="22"/>
          <w:szCs w:val="22"/>
          <w:lang w:val="en-US"/>
        </w:rPr>
        <w:t>Customs Administration</w:t>
      </w:r>
      <w:r>
        <w:rPr>
          <w:rFonts w:ascii="Times New Roman" w:hAnsi="Times New Roman"/>
          <w:sz w:val="22"/>
          <w:szCs w:val="22"/>
        </w:rPr>
        <w:t xml:space="preserve"> HQ is located in Skopje. </w:t>
      </w:r>
    </w:p>
    <w:p w14:paraId="253F8003" w14:textId="77777777" w:rsidR="0007024F" w:rsidRDefault="00127A4E">
      <w:pPr>
        <w:pStyle w:val="Heading2"/>
      </w:pPr>
      <w:bookmarkStart w:id="27" w:name="_Toc67320754"/>
      <w:r>
        <w:t>Start date &amp; period of implementation of tasks</w:t>
      </w:r>
      <w:bookmarkEnd w:id="27"/>
    </w:p>
    <w:p w14:paraId="101EA898" w14:textId="44A5133C" w:rsidR="0007024F" w:rsidRDefault="00127A4E">
      <w:pPr>
        <w:rPr>
          <w:rFonts w:ascii="Times New Roman" w:hAnsi="Times New Roman"/>
          <w:sz w:val="22"/>
          <w:szCs w:val="22"/>
        </w:rPr>
      </w:pPr>
      <w:r>
        <w:rPr>
          <w:rFonts w:ascii="Times New Roman" w:hAnsi="Times New Roman"/>
          <w:sz w:val="22"/>
          <w:szCs w:val="22"/>
        </w:rPr>
        <w:t xml:space="preserve">The intended start date is </w:t>
      </w:r>
      <w:r w:rsidR="008F587A">
        <w:rPr>
          <w:rFonts w:ascii="Times New Roman" w:hAnsi="Times New Roman"/>
          <w:sz w:val="22"/>
          <w:szCs w:val="22"/>
        </w:rPr>
        <w:t>May</w:t>
      </w:r>
      <w:r>
        <w:rPr>
          <w:rFonts w:ascii="Times New Roman" w:hAnsi="Times New Roman"/>
          <w:sz w:val="22"/>
          <w:szCs w:val="22"/>
        </w:rPr>
        <w:t xml:space="preserve"> 2024 and the period of implementation of the contract will be </w:t>
      </w:r>
      <w:r w:rsidR="00E219AE">
        <w:rPr>
          <w:rFonts w:ascii="Times New Roman" w:hAnsi="Times New Roman"/>
          <w:sz w:val="22"/>
          <w:szCs w:val="22"/>
        </w:rPr>
        <w:t>42 months</w:t>
      </w:r>
      <w:r>
        <w:rPr>
          <w:rFonts w:ascii="Times New Roman" w:hAnsi="Times New Roman"/>
          <w:sz w:val="22"/>
          <w:szCs w:val="22"/>
        </w:rPr>
        <w:t xml:space="preserve"> from this date. Please see Articles 19.1 and 19.2 of the special conditions for the actual start date and period of implementation.</w:t>
      </w:r>
    </w:p>
    <w:p w14:paraId="077739EA" w14:textId="77777777" w:rsidR="0007024F" w:rsidRDefault="00127A4E">
      <w:pPr>
        <w:pStyle w:val="Heading2"/>
      </w:pPr>
      <w:bookmarkStart w:id="28" w:name="_Toc67320756"/>
      <w:r>
        <w:t>Staff</w:t>
      </w:r>
      <w:bookmarkEnd w:id="28"/>
    </w:p>
    <w:p w14:paraId="79D82C03" w14:textId="1FFFDEFA" w:rsidR="0007024F" w:rsidRDefault="00127A4E">
      <w:pPr>
        <w:rPr>
          <w:rFonts w:ascii="Times New Roman" w:hAnsi="Times New Roman"/>
          <w:sz w:val="22"/>
          <w:szCs w:val="22"/>
        </w:rPr>
      </w:pPr>
      <w:r>
        <w:rPr>
          <w:rFonts w:ascii="Times New Roman" w:hAnsi="Times New Roman"/>
          <w:sz w:val="22"/>
          <w:szCs w:val="22"/>
        </w:rPr>
        <w:t xml:space="preserve">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 </w:t>
      </w:r>
    </w:p>
    <w:p w14:paraId="751D5D02" w14:textId="77777777" w:rsidR="0007024F" w:rsidRDefault="00127A4E">
      <w:pPr>
        <w:pStyle w:val="Heading3"/>
        <w:keepNext w:val="0"/>
      </w:pPr>
      <w:r>
        <w:t>Other experts, support staff &amp; backstopping</w:t>
      </w:r>
    </w:p>
    <w:p w14:paraId="0286018D" w14:textId="77777777" w:rsidR="0007024F" w:rsidRDefault="00127A4E">
      <w:pPr>
        <w:rPr>
          <w:rFonts w:ascii="Times New Roman" w:hAnsi="Times New Roman"/>
          <w:sz w:val="22"/>
          <w:szCs w:val="22"/>
        </w:rPr>
      </w:pPr>
      <w:r>
        <w:rPr>
          <w:rFonts w:ascii="Times New Roman" w:hAnsi="Times New Roman"/>
          <w:sz w:val="22"/>
          <w:szCs w:val="22"/>
        </w:rPr>
        <w:t>N/A</w:t>
      </w:r>
    </w:p>
    <w:p w14:paraId="69F64062" w14:textId="77777777" w:rsidR="0007024F" w:rsidRDefault="00127A4E">
      <w:pPr>
        <w:pStyle w:val="Heading2"/>
      </w:pPr>
      <w:bookmarkStart w:id="29" w:name="_Toc67320757"/>
      <w:r>
        <w:t>Office accommodation</w:t>
      </w:r>
      <w:bookmarkEnd w:id="29"/>
    </w:p>
    <w:p w14:paraId="2710D85B" w14:textId="77777777" w:rsidR="0007024F" w:rsidRDefault="00127A4E">
      <w:pPr>
        <w:rPr>
          <w:rFonts w:ascii="Times New Roman" w:hAnsi="Times New Roman"/>
          <w:sz w:val="22"/>
          <w:szCs w:val="22"/>
        </w:rPr>
      </w:pPr>
      <w:r>
        <w:rPr>
          <w:rFonts w:ascii="Times New Roman" w:hAnsi="Times New Roman"/>
          <w:sz w:val="22"/>
          <w:szCs w:val="22"/>
        </w:rPr>
        <w:t xml:space="preserve"> Office accommodation for each expert working on the contract is to be provided by the contractor.</w:t>
      </w:r>
    </w:p>
    <w:p w14:paraId="4C48E2FD" w14:textId="77777777" w:rsidR="0007024F" w:rsidRDefault="00127A4E">
      <w:pPr>
        <w:pStyle w:val="Heading2"/>
      </w:pPr>
      <w:bookmarkStart w:id="30" w:name="_Toc67320758"/>
      <w:r>
        <w:lastRenderedPageBreak/>
        <w:t>Facilities to be provided by the contractor</w:t>
      </w:r>
      <w:bookmarkEnd w:id="30"/>
    </w:p>
    <w:p w14:paraId="2338EC23" w14:textId="77777777" w:rsidR="0007024F" w:rsidRDefault="00127A4E">
      <w:pPr>
        <w:rPr>
          <w:rFonts w:ascii="Times New Roman" w:hAnsi="Times New Roman"/>
          <w:sz w:val="22"/>
          <w:szCs w:val="22"/>
        </w:rPr>
      </w:pPr>
      <w:r>
        <w:rPr>
          <w:rFonts w:ascii="Times New Roman" w:hAnsi="Times New Roman"/>
          <w:sz w:val="22"/>
          <w:szCs w:val="22"/>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 </w:t>
      </w:r>
      <w:r>
        <w:rPr>
          <w:rFonts w:ascii="Times New Roman" w:hAnsi="Times New Roman"/>
          <w:color w:val="000000"/>
          <w:sz w:val="22"/>
          <w:szCs w:val="22"/>
        </w:rPr>
        <w:t>The contractor is responsible to ensure all necessary supplies, documentation, logistical support etc for the success of the contract.</w:t>
      </w:r>
      <w:r>
        <w:rPr>
          <w:rFonts w:ascii="Times New Roman" w:hAnsi="Times New Roman"/>
          <w:sz w:val="22"/>
          <w:szCs w:val="22"/>
        </w:rPr>
        <w:t xml:space="preserve"> Please note that global price contract do not entail reimbursable/incidental expenditure.</w:t>
      </w:r>
    </w:p>
    <w:p w14:paraId="59C7C797" w14:textId="77777777" w:rsidR="0007024F" w:rsidRDefault="00127A4E">
      <w:pPr>
        <w:pStyle w:val="Heading2"/>
      </w:pPr>
      <w:bookmarkStart w:id="31" w:name="_Toc67320759"/>
      <w:r>
        <w:t>Equipment</w:t>
      </w:r>
      <w:bookmarkEnd w:id="31"/>
    </w:p>
    <w:p w14:paraId="6040D3A1" w14:textId="77777777" w:rsidR="0007024F" w:rsidRDefault="00127A4E">
      <w:pPr>
        <w:rPr>
          <w:rFonts w:ascii="Times New Roman" w:hAnsi="Times New Roman"/>
          <w:sz w:val="22"/>
          <w:szCs w:val="22"/>
        </w:rPr>
      </w:pPr>
      <w:r>
        <w:rPr>
          <w:rFonts w:ascii="Times New Roman" w:hAnsi="Times New Roman"/>
          <w:b/>
          <w:sz w:val="22"/>
          <w:szCs w:val="22"/>
        </w:rPr>
        <w:t>No</w:t>
      </w:r>
      <w:r>
        <w:rPr>
          <w:rFonts w:ascii="Times New Roman" w:hAnsi="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3203B748" w14:textId="17AF0167" w:rsidR="0007024F" w:rsidRDefault="00127A4E">
      <w:pPr>
        <w:pStyle w:val="Heading1"/>
      </w:pPr>
      <w:bookmarkStart w:id="32" w:name="_Toc67320760"/>
      <w:r>
        <w:t>REPORTS</w:t>
      </w:r>
      <w:bookmarkEnd w:id="32"/>
    </w:p>
    <w:p w14:paraId="539B1F4B" w14:textId="30FF132B" w:rsidR="0007024F" w:rsidRDefault="00127A4E">
      <w:pPr>
        <w:pStyle w:val="Heading2"/>
      </w:pPr>
      <w:bookmarkStart w:id="33" w:name="_Toc67320761"/>
      <w:bookmarkStart w:id="34" w:name="_Ref20656720"/>
      <w:bookmarkStart w:id="35" w:name="_Ref20555417"/>
      <w:r>
        <w:t>Reporting requirements</w:t>
      </w:r>
      <w:bookmarkEnd w:id="33"/>
      <w:bookmarkEnd w:id="34"/>
      <w:bookmarkEnd w:id="35"/>
    </w:p>
    <w:p w14:paraId="010C6DCC" w14:textId="77777777" w:rsidR="0007024F" w:rsidRDefault="00127A4E">
      <w:pPr>
        <w:rPr>
          <w:rFonts w:ascii="Times New Roman" w:hAnsi="Times New Roman"/>
          <w:sz w:val="22"/>
          <w:szCs w:val="22"/>
        </w:rPr>
      </w:pPr>
      <w:r>
        <w:rPr>
          <w:rFonts w:ascii="Times New Roman" w:hAnsi="Times New Roman"/>
          <w:sz w:val="22"/>
          <w:szCs w:val="22"/>
        </w:rPr>
        <w:t xml:space="preserve">The contractor will submit the following reports in </w:t>
      </w:r>
      <w:r>
        <w:rPr>
          <w:rFonts w:ascii="Times New Roman" w:hAnsi="Times New Roman"/>
          <w:sz w:val="22"/>
          <w:szCs w:val="22"/>
          <w:lang w:val="en-US"/>
        </w:rPr>
        <w:t>English language</w:t>
      </w:r>
      <w:r>
        <w:rPr>
          <w:rFonts w:ascii="Times New Roman" w:hAnsi="Times New Roman"/>
          <w:sz w:val="22"/>
          <w:szCs w:val="22"/>
        </w:rPr>
        <w:t xml:space="preserve"> in one original</w:t>
      </w:r>
      <w:r w:rsidRPr="00415F65">
        <w:rPr>
          <w:rFonts w:ascii="Times New Roman" w:hAnsi="Times New Roman"/>
          <w:color w:val="000000"/>
          <w:sz w:val="22"/>
          <w:szCs w:val="22"/>
        </w:rPr>
        <w:t xml:space="preserve"> and</w:t>
      </w:r>
      <w:r w:rsidRPr="00415F65">
        <w:rPr>
          <w:rFonts w:ascii="Times New Roman" w:hAnsi="Times New Roman"/>
          <w:color w:val="000000"/>
          <w:sz w:val="22"/>
          <w:szCs w:val="22"/>
          <w:lang w:val="en-US"/>
        </w:rPr>
        <w:t xml:space="preserve"> one </w:t>
      </w:r>
      <w:r w:rsidRPr="00415F65">
        <w:rPr>
          <w:rFonts w:ascii="Times New Roman" w:hAnsi="Times New Roman"/>
          <w:color w:val="000000"/>
          <w:sz w:val="22"/>
          <w:szCs w:val="22"/>
        </w:rPr>
        <w:t>(</w:t>
      </w:r>
      <w:r>
        <w:rPr>
          <w:rFonts w:ascii="Times New Roman" w:hAnsi="Times New Roman"/>
          <w:sz w:val="22"/>
          <w:szCs w:val="22"/>
        </w:rPr>
        <w:t>copy:</w:t>
      </w:r>
    </w:p>
    <w:p w14:paraId="54DCCDA6" w14:textId="015A1AB7" w:rsidR="0007024F" w:rsidRDefault="00127A4E">
      <w:pPr>
        <w:pStyle w:val="ListBullet"/>
        <w:numPr>
          <w:ilvl w:val="0"/>
          <w:numId w:val="29"/>
        </w:numPr>
        <w:rPr>
          <w:sz w:val="22"/>
          <w:szCs w:val="22"/>
        </w:rPr>
      </w:pPr>
      <w:r>
        <w:rPr>
          <w:b/>
          <w:bCs/>
          <w:sz w:val="22"/>
          <w:szCs w:val="22"/>
        </w:rPr>
        <w:t>Inception Report</w:t>
      </w:r>
      <w:r>
        <w:rPr>
          <w:sz w:val="22"/>
          <w:szCs w:val="22"/>
        </w:rPr>
        <w:t xml:space="preserve"> of maximum 12 pages to be produced aft</w:t>
      </w:r>
      <w:r>
        <w:rPr>
          <w:color w:val="000000"/>
          <w:sz w:val="22"/>
          <w:szCs w:val="22"/>
        </w:rPr>
        <w:t xml:space="preserve">er </w:t>
      </w:r>
      <w:r>
        <w:rPr>
          <w:sz w:val="22"/>
          <w:szCs w:val="22"/>
        </w:rPr>
        <w:t xml:space="preserve">one week, from the start of implementation. In the report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 </w:t>
      </w:r>
    </w:p>
    <w:p w14:paraId="35CA4F65" w14:textId="2180A44E" w:rsidR="0007024F" w:rsidRDefault="00127A4E">
      <w:pPr>
        <w:pStyle w:val="ListBullet"/>
        <w:numPr>
          <w:ilvl w:val="0"/>
          <w:numId w:val="30"/>
        </w:numPr>
        <w:rPr>
          <w:sz w:val="22"/>
          <w:szCs w:val="22"/>
        </w:rPr>
      </w:pPr>
      <w:r>
        <w:rPr>
          <w:b/>
          <w:bCs/>
          <w:sz w:val="22"/>
          <w:szCs w:val="22"/>
        </w:rPr>
        <w:t>Interim Progress reports:</w:t>
      </w:r>
    </w:p>
    <w:p w14:paraId="2D549ED3" w14:textId="5E64FF6B" w:rsidR="0007024F" w:rsidRDefault="00127A4E">
      <w:pPr>
        <w:pStyle w:val="ListBullet"/>
        <w:numPr>
          <w:ilvl w:val="0"/>
          <w:numId w:val="0"/>
        </w:numPr>
        <w:ind w:left="283"/>
        <w:rPr>
          <w:sz w:val="22"/>
          <w:szCs w:val="22"/>
        </w:rPr>
      </w:pPr>
      <w:r>
        <w:rPr>
          <w:bCs/>
          <w:sz w:val="22"/>
          <w:szCs w:val="22"/>
        </w:rPr>
        <w:t xml:space="preserve">- </w:t>
      </w:r>
      <w:bookmarkStart w:id="36" w:name="_Ref530906824_Copy_2"/>
      <w:bookmarkStart w:id="37" w:name="_Toc67320751_Copy_2"/>
      <w:bookmarkEnd w:id="36"/>
      <w:bookmarkEnd w:id="37"/>
      <w:r>
        <w:rPr>
          <w:bCs/>
          <w:sz w:val="22"/>
          <w:szCs w:val="22"/>
        </w:rPr>
        <w:t xml:space="preserve">The first progress report is to be submitted to the contracting authority </w:t>
      </w:r>
      <w:r w:rsidR="00245C86">
        <w:rPr>
          <w:bCs/>
          <w:sz w:val="22"/>
          <w:szCs w:val="22"/>
        </w:rPr>
        <w:t>8 (</w:t>
      </w:r>
      <w:r w:rsidR="008F587A">
        <w:rPr>
          <w:bCs/>
          <w:sz w:val="22"/>
          <w:szCs w:val="22"/>
        </w:rPr>
        <w:t>eight</w:t>
      </w:r>
      <w:r w:rsidR="00245C86">
        <w:rPr>
          <w:bCs/>
          <w:sz w:val="22"/>
          <w:szCs w:val="22"/>
        </w:rPr>
        <w:t>)</w:t>
      </w:r>
      <w:r>
        <w:rPr>
          <w:bCs/>
          <w:sz w:val="22"/>
          <w:szCs w:val="22"/>
        </w:rPr>
        <w:t xml:space="preserve"> months after the beginning of the assignment</w:t>
      </w:r>
      <w:r w:rsidR="00245C86">
        <w:rPr>
          <w:bCs/>
          <w:sz w:val="22"/>
          <w:szCs w:val="22"/>
        </w:rPr>
        <w:t>,</w:t>
      </w:r>
    </w:p>
    <w:p w14:paraId="225DC2EB" w14:textId="12D316AD" w:rsidR="0007024F" w:rsidRDefault="00127A4E">
      <w:pPr>
        <w:pStyle w:val="ListBullet"/>
        <w:numPr>
          <w:ilvl w:val="0"/>
          <w:numId w:val="0"/>
        </w:numPr>
        <w:ind w:left="283"/>
        <w:rPr>
          <w:sz w:val="22"/>
          <w:szCs w:val="22"/>
        </w:rPr>
      </w:pPr>
      <w:r>
        <w:rPr>
          <w:bCs/>
          <w:sz w:val="22"/>
          <w:szCs w:val="22"/>
        </w:rPr>
        <w:t xml:space="preserve">- </w:t>
      </w:r>
      <w:bookmarkStart w:id="38" w:name="_Ref530906824_Copy_2_Copy_1"/>
      <w:bookmarkStart w:id="39" w:name="_Toc67320751_Copy_2_Copy_1"/>
      <w:bookmarkEnd w:id="38"/>
      <w:bookmarkEnd w:id="39"/>
      <w:r>
        <w:rPr>
          <w:bCs/>
          <w:sz w:val="22"/>
          <w:szCs w:val="22"/>
        </w:rPr>
        <w:t>The second progress report is to be submitted to the contracting authority 2</w:t>
      </w:r>
      <w:r w:rsidR="008F587A">
        <w:rPr>
          <w:bCs/>
          <w:sz w:val="22"/>
          <w:szCs w:val="22"/>
        </w:rPr>
        <w:t>0</w:t>
      </w:r>
      <w:r>
        <w:rPr>
          <w:bCs/>
          <w:sz w:val="22"/>
          <w:szCs w:val="22"/>
        </w:rPr>
        <w:t xml:space="preserve"> </w:t>
      </w:r>
      <w:r w:rsidR="00245C86">
        <w:rPr>
          <w:bCs/>
          <w:sz w:val="22"/>
          <w:szCs w:val="22"/>
        </w:rPr>
        <w:t xml:space="preserve">(twenty) </w:t>
      </w:r>
      <w:r>
        <w:rPr>
          <w:bCs/>
          <w:sz w:val="22"/>
          <w:szCs w:val="22"/>
        </w:rPr>
        <w:t>months after the beginning of the assignment</w:t>
      </w:r>
      <w:r w:rsidR="00245C86">
        <w:rPr>
          <w:bCs/>
          <w:sz w:val="22"/>
          <w:szCs w:val="22"/>
        </w:rPr>
        <w:t>,</w:t>
      </w:r>
    </w:p>
    <w:p w14:paraId="020B890B" w14:textId="6781F897" w:rsidR="0007024F" w:rsidRDefault="00127A4E">
      <w:pPr>
        <w:pStyle w:val="ListBullet"/>
        <w:numPr>
          <w:ilvl w:val="0"/>
          <w:numId w:val="0"/>
        </w:numPr>
        <w:ind w:left="283"/>
        <w:rPr>
          <w:sz w:val="22"/>
          <w:szCs w:val="22"/>
        </w:rPr>
      </w:pPr>
      <w:r>
        <w:rPr>
          <w:bCs/>
          <w:sz w:val="22"/>
          <w:szCs w:val="22"/>
        </w:rPr>
        <w:t xml:space="preserve">- </w:t>
      </w:r>
      <w:bookmarkStart w:id="40" w:name="_Ref530906824_Copy_2_Copy_1_Copy_1"/>
      <w:bookmarkStart w:id="41" w:name="_Toc67320751_Copy_2_Copy_1_Copy_1"/>
      <w:bookmarkEnd w:id="40"/>
      <w:bookmarkEnd w:id="41"/>
      <w:r>
        <w:rPr>
          <w:bCs/>
          <w:sz w:val="22"/>
          <w:szCs w:val="22"/>
        </w:rPr>
        <w:t>The third progress report is to be submitted to the contracting authority 3</w:t>
      </w:r>
      <w:r w:rsidR="008F587A">
        <w:rPr>
          <w:bCs/>
          <w:sz w:val="22"/>
          <w:szCs w:val="22"/>
        </w:rPr>
        <w:t>2</w:t>
      </w:r>
      <w:r>
        <w:rPr>
          <w:bCs/>
          <w:sz w:val="22"/>
          <w:szCs w:val="22"/>
        </w:rPr>
        <w:t xml:space="preserve"> </w:t>
      </w:r>
      <w:r w:rsidR="00245C86">
        <w:rPr>
          <w:bCs/>
          <w:sz w:val="22"/>
          <w:szCs w:val="22"/>
        </w:rPr>
        <w:t xml:space="preserve">(thirty two) </w:t>
      </w:r>
      <w:r>
        <w:rPr>
          <w:bCs/>
          <w:sz w:val="22"/>
          <w:szCs w:val="22"/>
        </w:rPr>
        <w:t>months after the beginning of the assignment</w:t>
      </w:r>
      <w:r w:rsidR="00245C86">
        <w:rPr>
          <w:bCs/>
          <w:sz w:val="22"/>
          <w:szCs w:val="22"/>
        </w:rPr>
        <w:t>,</w:t>
      </w:r>
    </w:p>
    <w:p w14:paraId="0F950C0B" w14:textId="77777777" w:rsidR="0007024F" w:rsidRDefault="00127A4E">
      <w:pPr>
        <w:pStyle w:val="ListBullet"/>
        <w:numPr>
          <w:ilvl w:val="0"/>
          <w:numId w:val="31"/>
        </w:numPr>
        <w:rPr>
          <w:b/>
          <w:bCs/>
          <w:sz w:val="22"/>
          <w:szCs w:val="22"/>
        </w:rPr>
      </w:pPr>
      <w:r>
        <w:rPr>
          <w:b/>
          <w:bCs/>
          <w:sz w:val="22"/>
          <w:szCs w:val="22"/>
        </w:rPr>
        <w:t xml:space="preserve">Draft final report </w:t>
      </w:r>
      <w:r>
        <w:rPr>
          <w:sz w:val="22"/>
          <w:szCs w:val="22"/>
        </w:rPr>
        <w:t>of maximum 20 pages (main text, excluding annexes). This report shall be submitted no later than one month before the end of the period of implementation of tasks.</w:t>
      </w:r>
    </w:p>
    <w:p w14:paraId="63FBB972" w14:textId="578E1DFF" w:rsidR="0007024F" w:rsidRDefault="00127A4E">
      <w:pPr>
        <w:pStyle w:val="ListBullet"/>
        <w:numPr>
          <w:ilvl w:val="0"/>
          <w:numId w:val="32"/>
        </w:numPr>
        <w:rPr>
          <w:b/>
          <w:bCs/>
          <w:sz w:val="22"/>
          <w:szCs w:val="22"/>
        </w:rPr>
      </w:pPr>
      <w:r>
        <w:rPr>
          <w:b/>
          <w:bCs/>
          <w:sz w:val="22"/>
          <w:szCs w:val="22"/>
        </w:rPr>
        <w:t xml:space="preserve">Final report </w:t>
      </w:r>
      <w:r>
        <w:rPr>
          <w:sz w:val="22"/>
          <w:szCs w:val="22"/>
        </w:rPr>
        <w:t xml:space="preserve">with the same specifications as the draft final report, incorporating any comments received from the parties on the draft report. The deadline for sending the final report is 15 days after receipt of comments on the draft final report. The report shall contain a sufficiently detailed description of the different options to support an informed decision </w:t>
      </w:r>
      <w:r w:rsidR="00E219AE">
        <w:rPr>
          <w:sz w:val="22"/>
          <w:szCs w:val="22"/>
        </w:rPr>
        <w:t xml:space="preserve">on </w:t>
      </w:r>
      <w:r w:rsidR="00E219AE" w:rsidRPr="00415F65">
        <w:rPr>
          <w:color w:val="000000"/>
          <w:sz w:val="22"/>
          <w:szCs w:val="22"/>
        </w:rPr>
        <w:t>all</w:t>
      </w:r>
      <w:r w:rsidRPr="00415F65">
        <w:rPr>
          <w:color w:val="000000"/>
          <w:sz w:val="22"/>
          <w:szCs w:val="22"/>
        </w:rPr>
        <w:t xml:space="preserve"> previously approved project results.&gt;. The detailed analyses underpinning the recommendations will be presented in annexes to the main report. The final report must be provided along with </w:t>
      </w:r>
      <w:r>
        <w:rPr>
          <w:sz w:val="22"/>
          <w:szCs w:val="22"/>
        </w:rPr>
        <w:t xml:space="preserve">the corresponding invoice. </w:t>
      </w:r>
    </w:p>
    <w:p w14:paraId="45BDC261" w14:textId="77777777" w:rsidR="0007024F" w:rsidRDefault="00127A4E">
      <w:pPr>
        <w:pStyle w:val="ListBullet"/>
        <w:ind w:left="499" w:hanging="499"/>
      </w:pPr>
      <w:bookmarkStart w:id="42" w:name="_Toc67320762"/>
      <w:r>
        <w:t>Submission and approval of reports</w:t>
      </w:r>
      <w:bookmarkEnd w:id="42"/>
    </w:p>
    <w:p w14:paraId="47F3F259" w14:textId="77777777" w:rsidR="0007024F" w:rsidRDefault="00127A4E">
      <w:pPr>
        <w:rPr>
          <w:rFonts w:ascii="Times New Roman" w:hAnsi="Times New Roman"/>
          <w:sz w:val="22"/>
          <w:szCs w:val="22"/>
        </w:rPr>
      </w:pPr>
      <w:r>
        <w:rPr>
          <w:rFonts w:ascii="Times New Roman" w:hAnsi="Times New Roman"/>
          <w:sz w:val="22"/>
          <w:szCs w:val="22"/>
        </w:rPr>
        <w:t>The report referred to above must be submitted to the project manager identified in the contract. The project manager is responsible for approving the reports.</w:t>
      </w:r>
    </w:p>
    <w:p w14:paraId="7C37A3AC" w14:textId="77777777" w:rsidR="0007024F" w:rsidRDefault="00127A4E">
      <w:r>
        <w:rPr>
          <w:rFonts w:ascii="Times New Roman" w:hAnsi="Times New Roman"/>
          <w:color w:val="000000"/>
          <w:sz w:val="22"/>
          <w:szCs w:val="22"/>
        </w:rPr>
        <w:t>The reports should be submitted in English language.</w:t>
      </w:r>
    </w:p>
    <w:p w14:paraId="7D8EF032" w14:textId="77777777" w:rsidR="0007024F" w:rsidRDefault="00127A4E">
      <w:pPr>
        <w:pStyle w:val="Heading1"/>
      </w:pPr>
      <w:bookmarkStart w:id="43" w:name="_Toc67320763"/>
      <w:r>
        <w:lastRenderedPageBreak/>
        <w:t>MONITORING AND EVALUATION</w:t>
      </w:r>
      <w:bookmarkEnd w:id="43"/>
    </w:p>
    <w:p w14:paraId="6FA1B1F6" w14:textId="77777777" w:rsidR="0007024F" w:rsidRDefault="00127A4E">
      <w:pPr>
        <w:pStyle w:val="Heading2"/>
      </w:pPr>
      <w:bookmarkStart w:id="44" w:name="_Toc67320764"/>
      <w:r>
        <w:t>Definition of indicators</w:t>
      </w:r>
      <w:bookmarkEnd w:id="44"/>
    </w:p>
    <w:p w14:paraId="74DA9560" w14:textId="402E1F77" w:rsidR="0007024F" w:rsidRDefault="00127A4E">
      <w:pPr>
        <w:rPr>
          <w:rFonts w:ascii="Times New Roman" w:hAnsi="Times New Roman"/>
          <w:bCs/>
          <w:sz w:val="22"/>
          <w:szCs w:val="22"/>
        </w:rPr>
      </w:pPr>
      <w:r>
        <w:rPr>
          <w:rFonts w:ascii="Times New Roman" w:hAnsi="Times New Roman"/>
          <w:bCs/>
          <w:color w:val="000000"/>
          <w:sz w:val="22"/>
          <w:szCs w:val="22"/>
        </w:rPr>
        <w:t xml:space="preserve">Suitable and objectively quantifiable indicators will be proposed in the technical </w:t>
      </w:r>
      <w:r w:rsidR="00E219AE">
        <w:rPr>
          <w:rFonts w:ascii="Times New Roman" w:hAnsi="Times New Roman"/>
          <w:bCs/>
          <w:color w:val="000000"/>
          <w:sz w:val="22"/>
          <w:szCs w:val="22"/>
        </w:rPr>
        <w:t>offer, reviewed</w:t>
      </w:r>
      <w:r>
        <w:rPr>
          <w:rFonts w:ascii="Times New Roman" w:hAnsi="Times New Roman"/>
          <w:bCs/>
          <w:color w:val="000000"/>
          <w:sz w:val="22"/>
          <w:szCs w:val="22"/>
        </w:rPr>
        <w:t xml:space="preserve"> during the Inception phase in consultation with and confirmed by the Contracting </w:t>
      </w:r>
      <w:r w:rsidR="00E219AE">
        <w:rPr>
          <w:rFonts w:ascii="Times New Roman" w:hAnsi="Times New Roman"/>
          <w:bCs/>
          <w:color w:val="000000"/>
          <w:sz w:val="22"/>
          <w:szCs w:val="22"/>
        </w:rPr>
        <w:t>Authority, as</w:t>
      </w:r>
      <w:r>
        <w:rPr>
          <w:rFonts w:ascii="Times New Roman" w:hAnsi="Times New Roman"/>
          <w:bCs/>
          <w:color w:val="000000"/>
          <w:sz w:val="22"/>
          <w:szCs w:val="22"/>
        </w:rPr>
        <w:t xml:space="preserve"> part of the process of approval of the Inception Report. </w:t>
      </w:r>
    </w:p>
    <w:p w14:paraId="00A166EF" w14:textId="77777777" w:rsidR="0007024F" w:rsidRDefault="00127A4E">
      <w:pPr>
        <w:pStyle w:val="Text2"/>
        <w:ind w:left="0"/>
        <w:rPr>
          <w:rFonts w:ascii="Times New Roman" w:hAnsi="Times New Roman"/>
          <w:bCs/>
          <w:sz w:val="22"/>
          <w:szCs w:val="22"/>
        </w:rPr>
      </w:pPr>
      <w:r>
        <w:rPr>
          <w:rFonts w:ascii="Times New Roman" w:hAnsi="Times New Roman"/>
          <w:bCs/>
          <w:color w:val="000000"/>
          <w:sz w:val="22"/>
          <w:szCs w:val="22"/>
        </w:rPr>
        <w:t>Indicators to be proposed in the offer will be based on required outputs and may take the nature of: descriptive indicators; performance indicators; qualitative indicators; quantitative indicators etc.:</w:t>
      </w:r>
    </w:p>
    <w:p w14:paraId="4AF69765" w14:textId="77777777" w:rsidR="0007024F" w:rsidRDefault="00127A4E">
      <w:pPr>
        <w:pStyle w:val="Text2"/>
        <w:ind w:left="0"/>
      </w:pPr>
      <w:r>
        <w:rPr>
          <w:rFonts w:ascii="Times New Roman" w:hAnsi="Times New Roman"/>
          <w:bCs/>
          <w:color w:val="000000"/>
          <w:sz w:val="22"/>
          <w:szCs w:val="22"/>
        </w:rPr>
        <w:t>The following indicators shall confirm the successful achievement of the project results:</w:t>
      </w:r>
    </w:p>
    <w:p w14:paraId="711ADCD9" w14:textId="60BB8FF4" w:rsidR="0007024F" w:rsidRDefault="00127A4E">
      <w:pPr>
        <w:pStyle w:val="Text2"/>
        <w:tabs>
          <w:tab w:val="clear" w:pos="2161"/>
          <w:tab w:val="left" w:pos="567"/>
        </w:tabs>
        <w:ind w:left="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Timely </w:t>
      </w:r>
      <w:r w:rsidR="00E219AE">
        <w:rPr>
          <w:rFonts w:ascii="Times New Roman" w:hAnsi="Times New Roman"/>
          <w:sz w:val="22"/>
          <w:szCs w:val="22"/>
        </w:rPr>
        <w:t>completion</w:t>
      </w:r>
      <w:r>
        <w:rPr>
          <w:rFonts w:ascii="Times New Roman" w:hAnsi="Times New Roman"/>
          <w:sz w:val="22"/>
          <w:szCs w:val="22"/>
        </w:rPr>
        <w:t xml:space="preserve"> of the Tender Dossier for the above mention contract, </w:t>
      </w:r>
    </w:p>
    <w:p w14:paraId="2E97705D" w14:textId="6FD5D2A6" w:rsidR="0007024F" w:rsidRDefault="00127A4E">
      <w:pPr>
        <w:pStyle w:val="Text2"/>
        <w:tabs>
          <w:tab w:val="clear" w:pos="2161"/>
          <w:tab w:val="left" w:pos="567"/>
        </w:tabs>
        <w:ind w:left="0"/>
        <w:rPr>
          <w:rFonts w:ascii="Times New Roman" w:hAnsi="Times New Roman"/>
          <w:sz w:val="22"/>
          <w:szCs w:val="22"/>
        </w:rPr>
      </w:pPr>
      <w:r>
        <w:rPr>
          <w:rFonts w:ascii="Times New Roman" w:hAnsi="Times New Roman"/>
          <w:sz w:val="22"/>
          <w:szCs w:val="22"/>
        </w:rPr>
        <w:t xml:space="preserve">-        </w:t>
      </w:r>
      <w:r>
        <w:rPr>
          <w:rFonts w:ascii="Times New Roman" w:hAnsi="Times New Roman"/>
          <w:color w:val="000000"/>
          <w:sz w:val="22"/>
          <w:szCs w:val="22"/>
        </w:rPr>
        <w:t>Sufficient</w:t>
      </w:r>
      <w:r>
        <w:rPr>
          <w:rFonts w:ascii="Times New Roman" w:hAnsi="Times New Roman"/>
          <w:sz w:val="22"/>
          <w:szCs w:val="22"/>
        </w:rPr>
        <w:t xml:space="preserve"> quality of the Tender Dossier for the above mentioned contracts, that will be accepted by the Contracting </w:t>
      </w:r>
      <w:r w:rsidR="00E219AE">
        <w:rPr>
          <w:rFonts w:ascii="Times New Roman" w:hAnsi="Times New Roman"/>
          <w:sz w:val="22"/>
          <w:szCs w:val="22"/>
        </w:rPr>
        <w:t>Authority;</w:t>
      </w:r>
    </w:p>
    <w:p w14:paraId="02BE5942" w14:textId="77777777" w:rsidR="0007024F" w:rsidRDefault="00127A4E">
      <w:pPr>
        <w:pStyle w:val="Text2"/>
        <w:tabs>
          <w:tab w:val="clear" w:pos="2161"/>
          <w:tab w:val="left" w:pos="567"/>
        </w:tabs>
        <w:ind w:left="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Timely launch of the tender procedure for the above mention contracts;</w:t>
      </w:r>
    </w:p>
    <w:p w14:paraId="64BA7ABC" w14:textId="15932ADA" w:rsidR="0007024F" w:rsidRDefault="00127A4E">
      <w:pPr>
        <w:pStyle w:val="Text2"/>
        <w:tabs>
          <w:tab w:val="clear" w:pos="2161"/>
          <w:tab w:val="left" w:pos="567"/>
        </w:tabs>
        <w:ind w:left="0"/>
        <w:rPr>
          <w:rFonts w:ascii="Times New Roman" w:hAnsi="Times New Roman"/>
          <w:sz w:val="22"/>
          <w:szCs w:val="22"/>
        </w:rPr>
      </w:pPr>
      <w:r>
        <w:rPr>
          <w:rFonts w:ascii="Times New Roman" w:hAnsi="Times New Roman"/>
          <w:sz w:val="22"/>
          <w:szCs w:val="22"/>
        </w:rPr>
        <w:t xml:space="preserve">-         Timely </w:t>
      </w:r>
      <w:r w:rsidR="00E219AE">
        <w:rPr>
          <w:rFonts w:ascii="Times New Roman" w:hAnsi="Times New Roman"/>
          <w:sz w:val="22"/>
          <w:szCs w:val="22"/>
        </w:rPr>
        <w:t>completion</w:t>
      </w:r>
      <w:r>
        <w:rPr>
          <w:rFonts w:ascii="Times New Roman" w:hAnsi="Times New Roman"/>
          <w:sz w:val="22"/>
          <w:szCs w:val="22"/>
        </w:rPr>
        <w:t xml:space="preserve"> of the tender procedure for the above mentioned </w:t>
      </w:r>
      <w:r w:rsidR="00E219AE">
        <w:rPr>
          <w:rFonts w:ascii="Times New Roman" w:hAnsi="Times New Roman"/>
          <w:sz w:val="22"/>
          <w:szCs w:val="22"/>
        </w:rPr>
        <w:t>contracts.</w:t>
      </w:r>
    </w:p>
    <w:p w14:paraId="61035B22" w14:textId="77777777" w:rsidR="0007024F" w:rsidRDefault="00127A4E">
      <w:pPr>
        <w:pStyle w:val="Heading2"/>
      </w:pPr>
      <w:bookmarkStart w:id="45" w:name="_Toc67320765"/>
      <w:r>
        <w:t>Special requirements</w:t>
      </w:r>
      <w:bookmarkEnd w:id="45"/>
    </w:p>
    <w:p w14:paraId="58CC0336" w14:textId="77777777" w:rsidR="0007024F" w:rsidRDefault="00127A4E">
      <w:pPr>
        <w:spacing w:before="60" w:after="60"/>
        <w:rPr>
          <w:rFonts w:ascii="Times New Roman" w:hAnsi="Times New Roman"/>
          <w:bCs/>
          <w:sz w:val="22"/>
          <w:szCs w:val="22"/>
        </w:rPr>
      </w:pPr>
      <w:r>
        <w:rPr>
          <w:rFonts w:ascii="Times New Roman" w:hAnsi="Times New Roman"/>
          <w:bCs/>
          <w:sz w:val="22"/>
          <w:szCs w:val="22"/>
        </w:rPr>
        <w:t>In accordance with Article 2.5.4 of the PRAG, the firm or expert participating in the preparation of a project (</w:t>
      </w:r>
      <w:proofErr w:type="spellStart"/>
      <w:r>
        <w:rPr>
          <w:rFonts w:ascii="Times New Roman" w:hAnsi="Times New Roman"/>
          <w:bCs/>
          <w:sz w:val="22"/>
          <w:szCs w:val="22"/>
        </w:rPr>
        <w:t>ToR</w:t>
      </w:r>
      <w:proofErr w:type="spellEnd"/>
      <w:r>
        <w:rPr>
          <w:rFonts w:ascii="Times New Roman" w:hAnsi="Times New Roman"/>
          <w:bCs/>
          <w:sz w:val="22"/>
          <w:szCs w:val="22"/>
        </w:rPr>
        <w:t>/TD/Technical Specification) must be excluded from participating in the tender procedure as it will constitute a conflict of interest. Furthermore, at the end of assignment, the expert representing the Contractor shall sign a Declaration of Objectivity and Confidentiality concerning the non-dissemination of information concerning the outputs of this contract to any other person or company, to avoid creating unfair advantages in the tender process.</w:t>
      </w:r>
    </w:p>
    <w:p w14:paraId="25A422FC" w14:textId="77777777" w:rsidR="0007024F" w:rsidRDefault="00127A4E">
      <w:pPr>
        <w:rPr>
          <w:rFonts w:ascii="Times New Roman" w:hAnsi="Times New Roman"/>
          <w:sz w:val="22"/>
          <w:szCs w:val="22"/>
        </w:rPr>
      </w:pPr>
      <w:r>
        <w:rPr>
          <w:rFonts w:ascii="Times New Roman" w:hAnsi="Times New Roman"/>
          <w:sz w:val="22"/>
          <w:szCs w:val="22"/>
          <w:lang w:val="en-US"/>
        </w:rPr>
        <w:t xml:space="preserve">  </w:t>
      </w:r>
      <w:r>
        <w:rPr>
          <w:rFonts w:ascii="Times New Roman" w:hAnsi="Times New Roman"/>
          <w:sz w:val="22"/>
          <w:szCs w:val="22"/>
        </w:rPr>
        <w:t xml:space="preserve"> </w:t>
      </w:r>
    </w:p>
    <w:p w14:paraId="3CF2B5AA" w14:textId="77777777" w:rsidR="0007024F" w:rsidRDefault="0007024F">
      <w:pPr>
        <w:spacing w:before="60" w:after="60"/>
        <w:rPr>
          <w:rFonts w:ascii="Times New Roman" w:hAnsi="Times New Roman"/>
          <w:bCs/>
          <w:sz w:val="22"/>
          <w:szCs w:val="22"/>
        </w:rPr>
      </w:pPr>
    </w:p>
    <w:sectPr w:rsidR="0007024F">
      <w:headerReference w:type="default" r:id="rId13"/>
      <w:footerReference w:type="default" r:id="rId14"/>
      <w:headerReference w:type="first" r:id="rId15"/>
      <w:footerReference w:type="first" r:id="rId16"/>
      <w:pgSz w:w="11906" w:h="16838"/>
      <w:pgMar w:top="777" w:right="1134" w:bottom="1134" w:left="1134" w:header="720" w:footer="720" w:gutter="567"/>
      <w:cols w:space="720"/>
      <w:formProt w:val="0"/>
      <w:titlePg/>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82C8" w14:textId="77777777" w:rsidR="0031191E" w:rsidRDefault="0031191E">
      <w:pPr>
        <w:spacing w:after="0"/>
      </w:pPr>
      <w:r>
        <w:separator/>
      </w:r>
    </w:p>
  </w:endnote>
  <w:endnote w:type="continuationSeparator" w:id="0">
    <w:p w14:paraId="78D08DBF" w14:textId="77777777" w:rsidR="0031191E" w:rsidRDefault="00311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charset w:val="00"/>
    <w:family w:val="roman"/>
    <w:pitch w:val="variable"/>
  </w:font>
  <w:font w:name="OpenSymbol">
    <w:altName w:val="Cambria"/>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altName w:val="Cambria"/>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FA777" w14:textId="77777777" w:rsidR="0007024F" w:rsidRDefault="00127A4E">
    <w:pPr>
      <w:pStyle w:val="Footer"/>
      <w:tabs>
        <w:tab w:val="right" w:pos="9000"/>
      </w:tabs>
      <w:spacing w:before="120"/>
      <w:rPr>
        <w:rFonts w:ascii="Times New Roman" w:hAnsi="Times New Roman"/>
        <w:sz w:val="18"/>
        <w:szCs w:val="18"/>
      </w:rPr>
    </w:pPr>
    <w:r>
      <w:rPr>
        <w:rFonts w:ascii="Times New Roman" w:hAnsi="Times New Roman"/>
        <w:b/>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1</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13</w:t>
    </w:r>
    <w:r>
      <w:rPr>
        <w:rFonts w:ascii="Times New Roman" w:hAnsi="Times New Roman"/>
        <w:sz w:val="18"/>
        <w:szCs w:val="18"/>
      </w:rPr>
      <w:fldChar w:fldCharType="end"/>
    </w:r>
  </w:p>
  <w:p w14:paraId="0538775F" w14:textId="77777777" w:rsidR="0007024F" w:rsidRDefault="00127A4E">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02_b8f_annexiitorglobal_en_MSK (2).docx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A714" w14:textId="77777777" w:rsidR="0007024F" w:rsidRDefault="00127A4E">
    <w:pPr>
      <w:pStyle w:val="Footer"/>
      <w:tabs>
        <w:tab w:val="right" w:pos="9078"/>
      </w:tabs>
      <w:spacing w:before="120"/>
      <w:rPr>
        <w:rStyle w:val="PageNumber"/>
        <w:rFonts w:ascii="Times New Roman" w:hAnsi="Times New Roman"/>
        <w:b/>
        <w:sz w:val="18"/>
        <w:szCs w:val="18"/>
      </w:rPr>
    </w:pPr>
    <w:r>
      <w:rPr>
        <w:rFonts w:ascii="Times New Roman" w:hAnsi="Times New Roman"/>
        <w:b/>
        <w:sz w:val="18"/>
        <w:szCs w:val="18"/>
      </w:rPr>
      <w:t>2021.1</w:t>
    </w:r>
    <w:r>
      <w:rPr>
        <w:sz w:val="20"/>
      </w:rPr>
      <w:tab/>
    </w:r>
    <w:r>
      <w:rP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13</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13</w:t>
    </w:r>
    <w:r>
      <w:rPr>
        <w:rStyle w:val="PageNumber"/>
        <w:rFonts w:ascii="Times New Roman" w:hAnsi="Times New Roman"/>
        <w:sz w:val="18"/>
        <w:szCs w:val="18"/>
      </w:rPr>
      <w:fldChar w:fldCharType="end"/>
    </w:r>
  </w:p>
  <w:p w14:paraId="005A6ED4" w14:textId="77777777" w:rsidR="0007024F" w:rsidRDefault="00127A4E">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02_b8f_annexiitorglobal_en_MSK (2).docx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A001E" w14:textId="77777777" w:rsidR="0007024F" w:rsidRDefault="00127A4E">
    <w:pPr>
      <w:pStyle w:val="Footer"/>
      <w:tabs>
        <w:tab w:val="right" w:pos="9000"/>
      </w:tabs>
      <w:spacing w:before="120"/>
      <w:rPr>
        <w:rFonts w:ascii="Times New Roman" w:hAnsi="Times New Roman"/>
        <w:sz w:val="18"/>
        <w:szCs w:val="18"/>
      </w:rPr>
    </w:pPr>
    <w:r>
      <w:rPr>
        <w:rFonts w:ascii="Times New Roman" w:hAnsi="Times New Roman"/>
        <w:b/>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2</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13</w:t>
    </w:r>
    <w:r>
      <w:rPr>
        <w:rFonts w:ascii="Times New Roman" w:hAnsi="Times New Roman"/>
        <w:sz w:val="18"/>
        <w:szCs w:val="18"/>
      </w:rPr>
      <w:fldChar w:fldCharType="end"/>
    </w:r>
  </w:p>
  <w:p w14:paraId="32E34794" w14:textId="77777777" w:rsidR="0007024F" w:rsidRDefault="00127A4E">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02_b8f_annexiitorglobal_en_MSK (2).docx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E806" w14:textId="77777777" w:rsidR="0031191E" w:rsidRDefault="0031191E">
      <w:pPr>
        <w:spacing w:after="0"/>
      </w:pPr>
      <w:r>
        <w:separator/>
      </w:r>
    </w:p>
  </w:footnote>
  <w:footnote w:type="continuationSeparator" w:id="0">
    <w:p w14:paraId="13C8FF2E" w14:textId="77777777" w:rsidR="0031191E" w:rsidRDefault="00311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7B8C" w14:textId="77777777" w:rsidR="0007024F" w:rsidRDefault="00070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0A00" w14:textId="77777777" w:rsidR="0007024F" w:rsidRDefault="00070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BC21" w14:textId="77777777" w:rsidR="0007024F" w:rsidRDefault="00070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14E"/>
    <w:multiLevelType w:val="multilevel"/>
    <w:tmpl w:val="7BF83662"/>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8B24846"/>
    <w:multiLevelType w:val="multilevel"/>
    <w:tmpl w:val="B6DA7794"/>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2782E4C"/>
    <w:multiLevelType w:val="multilevel"/>
    <w:tmpl w:val="B55C2426"/>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695A18"/>
    <w:multiLevelType w:val="multilevel"/>
    <w:tmpl w:val="4060200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6480E66"/>
    <w:multiLevelType w:val="multilevel"/>
    <w:tmpl w:val="0AE69E12"/>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F8147E0"/>
    <w:multiLevelType w:val="multilevel"/>
    <w:tmpl w:val="6316C09A"/>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pStyle w:val="Heading3"/>
      <w:lvlText w:val="%1.%2.%3."/>
      <w:lvlJc w:val="left"/>
      <w:pPr>
        <w:tabs>
          <w:tab w:val="num" w:pos="2280"/>
        </w:tabs>
        <w:ind w:left="228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033CD4"/>
    <w:multiLevelType w:val="multilevel"/>
    <w:tmpl w:val="89FCED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7" w15:restartNumberingAfterBreak="0">
    <w:nsid w:val="26B7659D"/>
    <w:multiLevelType w:val="multilevel"/>
    <w:tmpl w:val="EEA24446"/>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BB27FC7"/>
    <w:multiLevelType w:val="multilevel"/>
    <w:tmpl w:val="8304A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F3547B1"/>
    <w:multiLevelType w:val="multilevel"/>
    <w:tmpl w:val="176AA1BE"/>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3934CC4"/>
    <w:multiLevelType w:val="multilevel"/>
    <w:tmpl w:val="6BF4EDB0"/>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A917C94"/>
    <w:multiLevelType w:val="multilevel"/>
    <w:tmpl w:val="3FC02B66"/>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AD95BBF"/>
    <w:multiLevelType w:val="multilevel"/>
    <w:tmpl w:val="F8A8E14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EE807EA"/>
    <w:multiLevelType w:val="multilevel"/>
    <w:tmpl w:val="9D4E677A"/>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19F2E5C"/>
    <w:multiLevelType w:val="multilevel"/>
    <w:tmpl w:val="9D404E52"/>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1E00175"/>
    <w:multiLevelType w:val="multilevel"/>
    <w:tmpl w:val="1F28BB86"/>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6586846"/>
    <w:multiLevelType w:val="multilevel"/>
    <w:tmpl w:val="3DA43B00"/>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7D213AA"/>
    <w:multiLevelType w:val="multilevel"/>
    <w:tmpl w:val="2B223B76"/>
    <w:lvl w:ilvl="0">
      <w:start w:val="5"/>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C4F2F84"/>
    <w:multiLevelType w:val="multilevel"/>
    <w:tmpl w:val="274CE370"/>
    <w:lvl w:ilvl="0">
      <w:numFmt w:val="bullet"/>
      <w:lvlText w:val=""/>
      <w:lvlJc w:val="left"/>
      <w:pPr>
        <w:tabs>
          <w:tab w:val="num" w:pos="0"/>
        </w:tabs>
        <w:ind w:left="360" w:firstLine="0"/>
      </w:pPr>
      <w:rPr>
        <w:rFonts w:ascii="Symbol" w:hAnsi="Symbol" w:cs="Symbol" w:hint="default"/>
      </w:rPr>
    </w:lvl>
    <w:lvl w:ilvl="1">
      <w:numFmt w:val="bullet"/>
      <w:lvlText w:val="o"/>
      <w:lvlJc w:val="left"/>
      <w:pPr>
        <w:tabs>
          <w:tab w:val="num" w:pos="0"/>
        </w:tabs>
        <w:ind w:left="1080" w:firstLine="0"/>
      </w:pPr>
      <w:rPr>
        <w:rFonts w:ascii="Courier New" w:hAnsi="Courier New" w:cs="Courier New" w:hint="default"/>
      </w:rPr>
    </w:lvl>
    <w:lvl w:ilvl="2">
      <w:numFmt w:val="bullet"/>
      <w:lvlText w:val=""/>
      <w:lvlJc w:val="left"/>
      <w:pPr>
        <w:tabs>
          <w:tab w:val="num" w:pos="0"/>
        </w:tabs>
        <w:ind w:left="1800" w:firstLine="0"/>
      </w:pPr>
      <w:rPr>
        <w:rFonts w:ascii="Wingdings" w:hAnsi="Wingdings" w:cs="Wingdings" w:hint="default"/>
      </w:rPr>
    </w:lvl>
    <w:lvl w:ilvl="3">
      <w:numFmt w:val="bullet"/>
      <w:lvlText w:val=""/>
      <w:lvlJc w:val="left"/>
      <w:pPr>
        <w:tabs>
          <w:tab w:val="num" w:pos="0"/>
        </w:tabs>
        <w:ind w:left="2520" w:firstLine="0"/>
      </w:pPr>
      <w:rPr>
        <w:rFonts w:ascii="Symbol" w:hAnsi="Symbol" w:cs="Symbol" w:hint="default"/>
      </w:rPr>
    </w:lvl>
    <w:lvl w:ilvl="4">
      <w:numFmt w:val="bullet"/>
      <w:lvlText w:val="o"/>
      <w:lvlJc w:val="left"/>
      <w:pPr>
        <w:tabs>
          <w:tab w:val="num" w:pos="0"/>
        </w:tabs>
        <w:ind w:left="3240" w:firstLine="0"/>
      </w:pPr>
      <w:rPr>
        <w:rFonts w:ascii="Courier New" w:hAnsi="Courier New" w:cs="Courier New" w:hint="default"/>
      </w:rPr>
    </w:lvl>
    <w:lvl w:ilvl="5">
      <w:numFmt w:val="bullet"/>
      <w:lvlText w:val=""/>
      <w:lvlJc w:val="left"/>
      <w:pPr>
        <w:tabs>
          <w:tab w:val="num" w:pos="0"/>
        </w:tabs>
        <w:ind w:left="3960" w:firstLine="0"/>
      </w:pPr>
      <w:rPr>
        <w:rFonts w:ascii="Wingdings" w:hAnsi="Wingdings" w:cs="Wingdings" w:hint="default"/>
      </w:rPr>
    </w:lvl>
    <w:lvl w:ilvl="6">
      <w:numFmt w:val="bullet"/>
      <w:lvlText w:val=""/>
      <w:lvlJc w:val="left"/>
      <w:pPr>
        <w:tabs>
          <w:tab w:val="num" w:pos="0"/>
        </w:tabs>
        <w:ind w:left="4680" w:firstLine="0"/>
      </w:pPr>
      <w:rPr>
        <w:rFonts w:ascii="Symbol" w:hAnsi="Symbol" w:cs="Symbol" w:hint="default"/>
      </w:rPr>
    </w:lvl>
    <w:lvl w:ilvl="7">
      <w:numFmt w:val="bullet"/>
      <w:lvlText w:val="o"/>
      <w:lvlJc w:val="left"/>
      <w:pPr>
        <w:tabs>
          <w:tab w:val="num" w:pos="0"/>
        </w:tabs>
        <w:ind w:left="5400" w:firstLine="0"/>
      </w:pPr>
      <w:rPr>
        <w:rFonts w:ascii="Courier New" w:hAnsi="Courier New" w:cs="Courier New" w:hint="default"/>
      </w:rPr>
    </w:lvl>
    <w:lvl w:ilvl="8">
      <w:numFmt w:val="bullet"/>
      <w:lvlText w:val=""/>
      <w:lvlJc w:val="left"/>
      <w:pPr>
        <w:tabs>
          <w:tab w:val="num" w:pos="0"/>
        </w:tabs>
        <w:ind w:left="6120" w:firstLine="0"/>
      </w:pPr>
      <w:rPr>
        <w:rFonts w:ascii="Wingdings" w:hAnsi="Wingdings" w:cs="Wingdings" w:hint="default"/>
      </w:rPr>
    </w:lvl>
  </w:abstractNum>
  <w:abstractNum w:abstractNumId="19" w15:restartNumberingAfterBreak="0">
    <w:nsid w:val="528623B2"/>
    <w:multiLevelType w:val="multilevel"/>
    <w:tmpl w:val="22D803F0"/>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5C783379"/>
    <w:multiLevelType w:val="multilevel"/>
    <w:tmpl w:val="CF441BBA"/>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E4D7DD0"/>
    <w:multiLevelType w:val="multilevel"/>
    <w:tmpl w:val="D7904670"/>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4D22AEC"/>
    <w:multiLevelType w:val="multilevel"/>
    <w:tmpl w:val="BF943A2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3" w15:restartNumberingAfterBreak="0">
    <w:nsid w:val="68903704"/>
    <w:multiLevelType w:val="multilevel"/>
    <w:tmpl w:val="B61CE128"/>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9194162"/>
    <w:multiLevelType w:val="multilevel"/>
    <w:tmpl w:val="3F9486AA"/>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0D094A"/>
    <w:multiLevelType w:val="multilevel"/>
    <w:tmpl w:val="31C23F90"/>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A403E51"/>
    <w:multiLevelType w:val="multilevel"/>
    <w:tmpl w:val="E84E7A0E"/>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B2D5129"/>
    <w:multiLevelType w:val="multilevel"/>
    <w:tmpl w:val="D6BEC864"/>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46891426">
    <w:abstractNumId w:val="5"/>
  </w:num>
  <w:num w:numId="2" w16cid:durableId="875628139">
    <w:abstractNumId w:val="11"/>
  </w:num>
  <w:num w:numId="3" w16cid:durableId="1923760261">
    <w:abstractNumId w:val="12"/>
  </w:num>
  <w:num w:numId="4" w16cid:durableId="473180981">
    <w:abstractNumId w:val="13"/>
  </w:num>
  <w:num w:numId="5" w16cid:durableId="657735887">
    <w:abstractNumId w:val="2"/>
  </w:num>
  <w:num w:numId="6" w16cid:durableId="1004435887">
    <w:abstractNumId w:val="4"/>
  </w:num>
  <w:num w:numId="7" w16cid:durableId="900212161">
    <w:abstractNumId w:val="21"/>
  </w:num>
  <w:num w:numId="8" w16cid:durableId="761071325">
    <w:abstractNumId w:val="15"/>
  </w:num>
  <w:num w:numId="9" w16cid:durableId="1384793257">
    <w:abstractNumId w:val="20"/>
  </w:num>
  <w:num w:numId="10" w16cid:durableId="1822040355">
    <w:abstractNumId w:val="0"/>
  </w:num>
  <w:num w:numId="11" w16cid:durableId="873272476">
    <w:abstractNumId w:val="23"/>
  </w:num>
  <w:num w:numId="12" w16cid:durableId="1201477711">
    <w:abstractNumId w:val="7"/>
  </w:num>
  <w:num w:numId="13" w16cid:durableId="1328750081">
    <w:abstractNumId w:val="19"/>
  </w:num>
  <w:num w:numId="14" w16cid:durableId="230653136">
    <w:abstractNumId w:val="9"/>
  </w:num>
  <w:num w:numId="15" w16cid:durableId="686172062">
    <w:abstractNumId w:val="14"/>
  </w:num>
  <w:num w:numId="16" w16cid:durableId="515920140">
    <w:abstractNumId w:val="1"/>
  </w:num>
  <w:num w:numId="17" w16cid:durableId="287249697">
    <w:abstractNumId w:val="26"/>
  </w:num>
  <w:num w:numId="18" w16cid:durableId="914632666">
    <w:abstractNumId w:val="24"/>
  </w:num>
  <w:num w:numId="19" w16cid:durableId="51075975">
    <w:abstractNumId w:val="17"/>
  </w:num>
  <w:num w:numId="20" w16cid:durableId="1998653110">
    <w:abstractNumId w:val="18"/>
  </w:num>
  <w:num w:numId="21" w16cid:durableId="630015281">
    <w:abstractNumId w:val="22"/>
  </w:num>
  <w:num w:numId="22" w16cid:durableId="961425572">
    <w:abstractNumId w:val="27"/>
  </w:num>
  <w:num w:numId="23" w16cid:durableId="320350505">
    <w:abstractNumId w:val="6"/>
  </w:num>
  <w:num w:numId="24" w16cid:durableId="480075383">
    <w:abstractNumId w:val="8"/>
  </w:num>
  <w:num w:numId="25" w16cid:durableId="838232996">
    <w:abstractNumId w:val="10"/>
  </w:num>
  <w:num w:numId="26" w16cid:durableId="1730297786">
    <w:abstractNumId w:val="3"/>
  </w:num>
  <w:num w:numId="27" w16cid:durableId="419059375">
    <w:abstractNumId w:val="16"/>
  </w:num>
  <w:num w:numId="28" w16cid:durableId="300575195">
    <w:abstractNumId w:val="25"/>
  </w:num>
  <w:num w:numId="29" w16cid:durableId="733040230">
    <w:abstractNumId w:val="10"/>
    <w:lvlOverride w:ilvl="0">
      <w:startOverride w:val="1"/>
    </w:lvlOverride>
  </w:num>
  <w:num w:numId="30" w16cid:durableId="180047604">
    <w:abstractNumId w:val="10"/>
  </w:num>
  <w:num w:numId="31" w16cid:durableId="1165826053">
    <w:abstractNumId w:val="10"/>
  </w:num>
  <w:num w:numId="32" w16cid:durableId="294680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07024F"/>
    <w:rsid w:val="0007024F"/>
    <w:rsid w:val="00127A4E"/>
    <w:rsid w:val="00167806"/>
    <w:rsid w:val="00245C86"/>
    <w:rsid w:val="0031191E"/>
    <w:rsid w:val="00415F65"/>
    <w:rsid w:val="004B3F27"/>
    <w:rsid w:val="004D465A"/>
    <w:rsid w:val="008F587A"/>
    <w:rsid w:val="00C05E1C"/>
    <w:rsid w:val="00E219AE"/>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3247F"/>
  <w15:docId w15:val="{38B66474-C99C-45C1-B002-CEC40D8B7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1"/>
      </w:numPr>
      <w:spacing w:before="240"/>
      <w:ind w:left="482" w:hanging="482"/>
      <w:outlineLvl w:val="0"/>
    </w:pPr>
    <w:rPr>
      <w:rFonts w:ascii="Times New Roman" w:hAnsi="Times New Roman"/>
      <w:b/>
      <w:smallCaps/>
      <w:kern w:val="2"/>
      <w:sz w:val="28"/>
      <w:szCs w:val="28"/>
    </w:rPr>
  </w:style>
  <w:style w:type="paragraph" w:styleId="Heading2">
    <w:name w:val="heading 2"/>
    <w:basedOn w:val="Normal"/>
    <w:next w:val="Text2"/>
    <w:autoRedefine/>
    <w:qFormat/>
    <w:rsid w:val="00E865EA"/>
    <w:pPr>
      <w:numPr>
        <w:ilvl w:val="1"/>
        <w:numId w:val="1"/>
      </w:numPr>
      <w:tabs>
        <w:tab w:val="left"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1"/>
      </w:numPr>
      <w:tabs>
        <w:tab w:val="left"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sz w:val="22"/>
    </w:rPr>
  </w:style>
  <w:style w:type="paragraph" w:styleId="Heading6">
    <w:name w:val="heading 6"/>
    <w:basedOn w:val="Normal"/>
    <w:next w:val="Normal"/>
    <w:qFormat/>
    <w:pPr>
      <w:tabs>
        <w:tab w:val="left" w:pos="0"/>
      </w:tabs>
      <w:spacing w:before="240" w:after="60"/>
      <w:outlineLvl w:val="5"/>
    </w:pPr>
    <w:rPr>
      <w:i/>
      <w:sz w:val="22"/>
    </w:rPr>
  </w:style>
  <w:style w:type="paragraph" w:styleId="Heading7">
    <w:name w:val="heading 7"/>
    <w:basedOn w:val="Normal"/>
    <w:next w:val="Normal"/>
    <w:qFormat/>
    <w:pPr>
      <w:tabs>
        <w:tab w:val="left" w:pos="0"/>
      </w:tabs>
      <w:spacing w:before="240" w:after="60"/>
      <w:outlineLvl w:val="6"/>
    </w:pPr>
  </w:style>
  <w:style w:type="paragraph" w:styleId="Heading8">
    <w:name w:val="heading 8"/>
    <w:basedOn w:val="Normal"/>
    <w:next w:val="Normal"/>
    <w:qFormat/>
    <w:pPr>
      <w:tabs>
        <w:tab w:val="left" w:pos="0"/>
      </w:tabs>
      <w:spacing w:before="240" w:after="60"/>
      <w:outlineLvl w:val="7"/>
    </w:pPr>
    <w:rPr>
      <w:i/>
    </w:rPr>
  </w:style>
  <w:style w:type="paragraph" w:styleId="Heading9">
    <w:name w:val="heading 9"/>
    <w:basedOn w:val="Normal"/>
    <w:next w:val="Normal"/>
    <w:qFormat/>
    <w:pPr>
      <w:tabs>
        <w:tab w:val="left"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rFonts w:ascii="TimesNewRomanPS" w:hAnsi="TimesNewRomanPS"/>
      <w:sz w:val="16"/>
      <w:vertAlign w:val="superscript"/>
    </w:rPr>
  </w:style>
  <w:style w:type="character" w:styleId="FootnoteReference">
    <w:name w:val="footnote reference"/>
    <w:rPr>
      <w:rFonts w:ascii="TimesNewRomanPS" w:hAnsi="TimesNewRomanPS"/>
      <w:sz w:val="16"/>
      <w:vertAlign w:val="superscript"/>
    </w:rPr>
  </w:style>
  <w:style w:type="character" w:styleId="PageNumber">
    <w:name w:val="page number"/>
    <w:basedOn w:val="DefaultParagraphFont"/>
    <w:qFormat/>
  </w:style>
  <w:style w:type="character" w:styleId="Hyperlink">
    <w:name w:val="Hyperlink"/>
    <w:rPr>
      <w:color w:val="0000FF"/>
      <w:u w:val="single"/>
    </w:rPr>
  </w:style>
  <w:style w:type="character" w:styleId="CommentReference">
    <w:name w:val="annotation reference"/>
    <w:qFormat/>
    <w:rsid w:val="0061269A"/>
    <w:rPr>
      <w:sz w:val="16"/>
      <w:szCs w:val="16"/>
    </w:rPr>
  </w:style>
  <w:style w:type="character" w:customStyle="1" w:styleId="CommentTextChar">
    <w:name w:val="Comment Text Char"/>
    <w:link w:val="CommentText"/>
    <w:semiHidden/>
    <w:qFormat/>
    <w:rsid w:val="00862E3E"/>
    <w:rPr>
      <w:rFonts w:ascii="Arial" w:hAnsi="Arial"/>
    </w:rPr>
  </w:style>
  <w:style w:type="character" w:styleId="FollowedHyperlink">
    <w:name w:val="FollowedHyperlink"/>
    <w:rsid w:val="00450070"/>
    <w:rPr>
      <w:color w:val="800080"/>
      <w:u w:val="singl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HeaderChar">
    <w:name w:val="Header Char"/>
    <w:link w:val="Header"/>
    <w:uiPriority w:val="99"/>
    <w:qFormat/>
    <w:rsid w:val="00266308"/>
    <w:rPr>
      <w:rFonts w:ascii="Arial" w:hAnsi="Arial"/>
    </w:rPr>
  </w:style>
  <w:style w:type="character" w:styleId="Strong">
    <w:name w:val="Strong"/>
    <w:basedOn w:val="DefaultParagraphFont"/>
    <w:uiPriority w:val="22"/>
    <w:qFormat/>
    <w:rsid w:val="008A3E99"/>
    <w:rPr>
      <w:b/>
      <w:bCs/>
    </w:rPr>
  </w:style>
  <w:style w:type="character" w:customStyle="1" w:styleId="linenumber1">
    <w:name w:val="line number1"/>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qFormat/>
    <w:pPr>
      <w:suppressLineNumbers/>
      <w:spacing w:before="120" w:after="120"/>
    </w:pPr>
    <w:rPr>
      <w:rFonts w:cs="Lucida Sans"/>
      <w:i/>
      <w:iCs/>
      <w:sz w:val="24"/>
      <w:szCs w:val="24"/>
    </w:rPr>
  </w:style>
  <w:style w:type="paragraph" w:customStyle="1" w:styleId="Text1">
    <w:name w:val="Text 1"/>
    <w:basedOn w:val="Normal"/>
    <w:qFormat/>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AddressTR">
    <w:name w:val="AddressTR"/>
    <w:basedOn w:val="Normal"/>
    <w:next w:val="Normal"/>
    <w:qFormat/>
    <w:pPr>
      <w:spacing w:after="720"/>
      <w:ind w:left="5103"/>
      <w:jc w:val="left"/>
    </w:p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aption111">
    <w:name w:val="caption111"/>
    <w:basedOn w:val="Normal"/>
    <w:next w:val="Normal"/>
    <w:qFormat/>
    <w:pPr>
      <w:spacing w:before="120" w:after="120"/>
    </w:pPr>
    <w:rPr>
      <w:b/>
    </w:r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qFormat/>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style>
  <w:style w:type="paragraph" w:styleId="DocumentMap">
    <w:name w:val="Document Map"/>
    <w:basedOn w:val="Normal"/>
    <w:semiHidden/>
    <w:qFormat/>
    <w:pPr>
      <w:shd w:val="clear" w:color="auto" w:fill="000080"/>
    </w:pPr>
    <w:rPr>
      <w:rFonts w:ascii="Tahoma" w:hAnsi="Tahoma"/>
    </w:rPr>
  </w:style>
  <w:style w:type="paragraph" w:customStyle="1" w:styleId="DoubSign">
    <w:name w:val="DoubSign"/>
    <w:basedOn w:val="Normal"/>
    <w:next w:val="Enclosures"/>
    <w:qFormat/>
    <w:pPr>
      <w:tabs>
        <w:tab w:val="left" w:pos="5103"/>
      </w:tabs>
      <w:spacing w:before="1200" w:after="0"/>
      <w:jc w:val="left"/>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qFormat/>
    <w:pPr>
      <w:spacing w:after="0"/>
    </w:pPr>
  </w:style>
  <w:style w:type="paragraph" w:styleId="EnvelopeReturn">
    <w:name w:val="envelope return"/>
    <w:basedOn w:val="Normal"/>
    <w:qFormat/>
    <w:pPr>
      <w:spacing w:after="0"/>
    </w:pPr>
  </w:style>
  <w:style w:type="paragraph" w:customStyle="1" w:styleId="HeaderandFooter">
    <w:name w:val="Header and Footer"/>
    <w:basedOn w:val="Normal"/>
    <w:qFormat/>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customStyle="1" w:styleId="indexheading1">
    <w:name w:val="index heading1"/>
    <w:basedOn w:val="Normal"/>
    <w:next w:val="Index1"/>
    <w:semiHidden/>
    <w:qFormat/>
    <w:rPr>
      <w:b/>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rsid w:val="00B902C8"/>
    <w:pPr>
      <w:numPr>
        <w:numId w:val="4"/>
      </w:numPr>
    </w:pPr>
    <w:rPr>
      <w:rFonts w:ascii="Times New Roman" w:hAnsi="Times New Roman"/>
      <w:sz w:val="24"/>
      <w:lang w:eastAsia="en-US"/>
    </w:rPr>
  </w:style>
  <w:style w:type="paragraph" w:styleId="ListBullet2">
    <w:name w:val="List Bullet 2"/>
    <w:basedOn w:val="Text2"/>
    <w:rsid w:val="00B902C8"/>
    <w:pPr>
      <w:numPr>
        <w:numId w:val="6"/>
      </w:numPr>
      <w:tabs>
        <w:tab w:val="clear" w:pos="2161"/>
      </w:tabs>
    </w:pPr>
    <w:rPr>
      <w:rFonts w:ascii="Times New Roman" w:hAnsi="Times New Roman"/>
      <w:sz w:val="24"/>
      <w:lang w:eastAsia="en-US"/>
    </w:rPr>
  </w:style>
  <w:style w:type="paragraph" w:styleId="ListBullet3">
    <w:name w:val="List Bullet 3"/>
    <w:basedOn w:val="Text3"/>
    <w:rsid w:val="00B902C8"/>
    <w:pPr>
      <w:numPr>
        <w:numId w:val="7"/>
      </w:numPr>
      <w:tabs>
        <w:tab w:val="clear" w:pos="2302"/>
      </w:tabs>
    </w:pPr>
    <w:rPr>
      <w:rFonts w:ascii="Times New Roman" w:hAnsi="Times New Roman"/>
      <w:sz w:val="24"/>
      <w:lang w:eastAsia="en-US"/>
    </w:rPr>
  </w:style>
  <w:style w:type="paragraph" w:styleId="ListBullet4">
    <w:name w:val="List Bullet 4"/>
    <w:basedOn w:val="Text4"/>
    <w:rsid w:val="00B902C8"/>
    <w:pPr>
      <w:numPr>
        <w:numId w:val="8"/>
      </w:numPr>
      <w:tabs>
        <w:tab w:val="clear" w:pos="2302"/>
      </w:tabs>
    </w:pPr>
    <w:rPr>
      <w:rFonts w:ascii="Times New Roman" w:hAnsi="Times New Roman"/>
      <w:sz w:val="24"/>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4"/>
      </w:numPr>
    </w:pPr>
    <w:rPr>
      <w:rFonts w:ascii="Times New Roman" w:hAnsi="Times New Roman"/>
      <w:sz w:val="24"/>
      <w:lang w:eastAsia="en-US"/>
    </w:rPr>
  </w:style>
  <w:style w:type="paragraph" w:styleId="ListNumber2">
    <w:name w:val="List Number 2"/>
    <w:basedOn w:val="Text2"/>
    <w:rsid w:val="00B902C8"/>
    <w:pPr>
      <w:numPr>
        <w:numId w:val="16"/>
      </w:numPr>
      <w:tabs>
        <w:tab w:val="clear" w:pos="2161"/>
      </w:tabs>
    </w:pPr>
    <w:rPr>
      <w:rFonts w:ascii="Times New Roman" w:hAnsi="Times New Roman"/>
      <w:sz w:val="24"/>
      <w:lang w:eastAsia="en-US"/>
    </w:rPr>
  </w:style>
  <w:style w:type="paragraph" w:styleId="ListNumber3">
    <w:name w:val="List Number 3"/>
    <w:basedOn w:val="Text3"/>
    <w:rsid w:val="00B902C8"/>
    <w:pPr>
      <w:numPr>
        <w:numId w:val="17"/>
      </w:numPr>
      <w:tabs>
        <w:tab w:val="clear" w:pos="2302"/>
      </w:tabs>
    </w:pPr>
    <w:rPr>
      <w:rFonts w:ascii="Times New Roman" w:hAnsi="Times New Roman"/>
      <w:sz w:val="24"/>
      <w:lang w:eastAsia="en-US"/>
    </w:rPr>
  </w:style>
  <w:style w:type="paragraph" w:styleId="ListNumber4">
    <w:name w:val="List Number 4"/>
    <w:basedOn w:val="Text4"/>
    <w:rsid w:val="00B902C8"/>
    <w:pPr>
      <w:numPr>
        <w:numId w:val="18"/>
      </w:numPr>
      <w:tabs>
        <w:tab w:val="clear" w:pos="2302"/>
      </w:tabs>
    </w:pPr>
    <w:rPr>
      <w:rFonts w:ascii="Times New Roman" w:hAnsi="Times New Roman"/>
      <w:sz w:val="24"/>
      <w:lang w:eastAsia="en-US"/>
    </w:rPr>
  </w:style>
  <w:style w:type="paragraph" w:styleId="ListNumber5">
    <w:name w:val="List Number 5"/>
    <w:basedOn w:val="Normal"/>
    <w:pPr>
      <w:numPr>
        <w:numId w:val="3"/>
      </w:numPr>
    </w:p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style>
  <w:style w:type="paragraph" w:styleId="NormalIndent">
    <w:name w:val="Normal Indent"/>
    <w:basedOn w:val="Normal"/>
    <w:qFormat/>
    <w:pPr>
      <w:ind w:left="720"/>
    </w:pPr>
  </w:style>
  <w:style w:type="paragraph" w:styleId="NoteHeading">
    <w:name w:val="Note Heading"/>
    <w:basedOn w:val="Normal"/>
    <w:next w:val="Normal"/>
    <w:qFormat/>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191" w:hanging="119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ind w:left="483" w:hanging="483"/>
      <w:outlineLvl w:val="9"/>
    </w:pPr>
    <w:rPr>
      <w:b w:val="0"/>
      <w:smallCaps w:val="0"/>
    </w:rPr>
  </w:style>
  <w:style w:type="paragraph" w:customStyle="1" w:styleId="NumPar2">
    <w:name w:val="NumPar 2"/>
    <w:basedOn w:val="Heading2"/>
    <w:next w:val="Text2"/>
    <w:qFormat/>
    <w:pPr>
      <w:numPr>
        <w:ilvl w:val="0"/>
        <w:numId w:val="0"/>
      </w:numPr>
      <w:ind w:left="499" w:hanging="499"/>
      <w:outlineLvl w:val="9"/>
    </w:pPr>
    <w:rPr>
      <w:b w:val="0"/>
    </w:rPr>
  </w:style>
  <w:style w:type="paragraph" w:customStyle="1" w:styleId="NumPar3">
    <w:name w:val="NumPar 3"/>
    <w:basedOn w:val="Heading3"/>
    <w:next w:val="Text3"/>
    <w:qFormat/>
    <w:pPr>
      <w:keepNext w:val="0"/>
      <w:numPr>
        <w:ilvl w:val="0"/>
        <w:numId w:val="0"/>
      </w:numPr>
      <w:ind w:left="567" w:hanging="567"/>
      <w:outlineLvl w:val="9"/>
    </w:pPr>
    <w:rPr>
      <w:i/>
    </w:rPr>
  </w:style>
  <w:style w:type="paragraph" w:customStyle="1" w:styleId="NumPar4">
    <w:name w:val="NumPar 4"/>
    <w:basedOn w:val="Heading4"/>
    <w:next w:val="Text4"/>
    <w:qFormat/>
    <w:pPr>
      <w:keepNext w:val="0"/>
      <w:numPr>
        <w:ilvl w:val="0"/>
        <w:numId w:val="0"/>
      </w:numPr>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styleId="PlainText">
    <w:name w:val="Plain Text"/>
    <w:basedOn w:val="Normal"/>
    <w:qFormat/>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
      <w:sz w:val="48"/>
    </w:rPr>
  </w:style>
  <w:style w:type="paragraph" w:styleId="TOAHeading">
    <w:name w:val="toa heading"/>
    <w:basedOn w:val="Normal"/>
    <w:next w:val="Normal"/>
    <w:semiHidden/>
    <w:qFormat/>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qFormat/>
    <w:pPr>
      <w:ind w:left="567" w:hanging="567"/>
      <w:jc w:val="center"/>
    </w:pPr>
    <w:rPr>
      <w:b/>
      <w:u w:val="single"/>
    </w:rPr>
  </w:style>
  <w:style w:type="paragraph" w:customStyle="1" w:styleId="Annexetitle">
    <w:name w:val="Annexe_title"/>
    <w:basedOn w:val="Heading1"/>
    <w:next w:val="Normal"/>
    <w:autoRedefine/>
    <w:qFormat/>
    <w:rsid w:val="0019480C"/>
    <w:pPr>
      <w:keepNext w:val="0"/>
      <w:pageBreakBefore/>
      <w:numPr>
        <w:numId w:val="0"/>
      </w:numPr>
      <w:tabs>
        <w:tab w:val="left" w:pos="1701"/>
        <w:tab w:val="left" w:pos="2552"/>
      </w:tabs>
      <w:ind w:left="482" w:hanging="482"/>
      <w:jc w:val="center"/>
      <w:outlineLvl w:val="9"/>
    </w:pPr>
    <w:rPr>
      <w:caps/>
      <w:kern w:val="0"/>
    </w:rPr>
  </w:style>
  <w:style w:type="paragraph" w:customStyle="1" w:styleId="normaltableau">
    <w:name w:val="normal_tableau"/>
    <w:basedOn w:val="Normal"/>
    <w:qFormat/>
    <w:pPr>
      <w:spacing w:before="120" w:after="120"/>
    </w:pPr>
    <w:rPr>
      <w:rFonts w:ascii="Optima" w:hAnsi="Optima"/>
      <w:sz w:val="22"/>
    </w:rPr>
  </w:style>
  <w:style w:type="paragraph" w:customStyle="1" w:styleId="Contact">
    <w:name w:val="Contact"/>
    <w:basedOn w:val="Normal"/>
    <w:next w:val="Normal"/>
    <w:qFormat/>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qFormat/>
    <w:rsid w:val="00B902C8"/>
    <w:pPr>
      <w:numPr>
        <w:numId w:val="5"/>
      </w:numPr>
    </w:pPr>
    <w:rPr>
      <w:rFonts w:ascii="Times New Roman" w:hAnsi="Times New Roman"/>
      <w:sz w:val="24"/>
      <w:lang w:eastAsia="en-US"/>
    </w:rPr>
  </w:style>
  <w:style w:type="paragraph" w:customStyle="1" w:styleId="ListDash">
    <w:name w:val="List Dash"/>
    <w:basedOn w:val="Normal"/>
    <w:qFormat/>
    <w:rsid w:val="00B902C8"/>
    <w:pPr>
      <w:numPr>
        <w:numId w:val="9"/>
      </w:numPr>
    </w:pPr>
    <w:rPr>
      <w:rFonts w:ascii="Times New Roman" w:hAnsi="Times New Roman"/>
      <w:sz w:val="24"/>
      <w:lang w:eastAsia="en-US"/>
    </w:rPr>
  </w:style>
  <w:style w:type="paragraph" w:customStyle="1" w:styleId="ListDash1">
    <w:name w:val="List Dash 1"/>
    <w:basedOn w:val="Text1"/>
    <w:qFormat/>
    <w:rsid w:val="00B902C8"/>
    <w:pPr>
      <w:numPr>
        <w:numId w:val="10"/>
      </w:numPr>
    </w:pPr>
    <w:rPr>
      <w:rFonts w:ascii="Times New Roman" w:hAnsi="Times New Roman"/>
      <w:sz w:val="24"/>
      <w:lang w:eastAsia="en-US"/>
    </w:rPr>
  </w:style>
  <w:style w:type="paragraph" w:customStyle="1" w:styleId="ListDash2">
    <w:name w:val="List Dash 2"/>
    <w:basedOn w:val="Text2"/>
    <w:qFormat/>
    <w:rsid w:val="00B902C8"/>
    <w:pPr>
      <w:numPr>
        <w:numId w:val="11"/>
      </w:numPr>
      <w:tabs>
        <w:tab w:val="clear" w:pos="2161"/>
      </w:tabs>
    </w:pPr>
    <w:rPr>
      <w:rFonts w:ascii="Times New Roman" w:hAnsi="Times New Roman"/>
      <w:sz w:val="24"/>
      <w:lang w:eastAsia="en-US"/>
    </w:rPr>
  </w:style>
  <w:style w:type="paragraph" w:customStyle="1" w:styleId="ListDash3">
    <w:name w:val="List Dash 3"/>
    <w:basedOn w:val="Text3"/>
    <w:qFormat/>
    <w:rsid w:val="00B902C8"/>
    <w:pPr>
      <w:numPr>
        <w:numId w:val="12"/>
      </w:numPr>
      <w:tabs>
        <w:tab w:val="clear" w:pos="2302"/>
      </w:tabs>
    </w:pPr>
    <w:rPr>
      <w:rFonts w:ascii="Times New Roman" w:hAnsi="Times New Roman"/>
      <w:sz w:val="24"/>
      <w:lang w:eastAsia="en-US"/>
    </w:rPr>
  </w:style>
  <w:style w:type="paragraph" w:customStyle="1" w:styleId="ListDash4">
    <w:name w:val="List Dash 4"/>
    <w:basedOn w:val="Text4"/>
    <w:qFormat/>
    <w:rsid w:val="00B902C8"/>
    <w:pPr>
      <w:numPr>
        <w:numId w:val="13"/>
      </w:numPr>
      <w:tabs>
        <w:tab w:val="clear" w:pos="2302"/>
      </w:tabs>
    </w:pPr>
    <w:rPr>
      <w:rFonts w:ascii="Times New Roman" w:hAnsi="Times New Roman"/>
      <w:sz w:val="24"/>
      <w:lang w:eastAsia="en-US"/>
    </w:rPr>
  </w:style>
  <w:style w:type="paragraph" w:customStyle="1" w:styleId="ListNumber1">
    <w:name w:val="List Number 1"/>
    <w:basedOn w:val="Text1"/>
    <w:qFormat/>
    <w:rsid w:val="00B902C8"/>
    <w:pPr>
      <w:numPr>
        <w:numId w:val="15"/>
      </w:numPr>
    </w:pPr>
    <w:rPr>
      <w:rFonts w:ascii="Times New Roman" w:hAnsi="Times New Roman"/>
      <w:sz w:val="24"/>
      <w:lang w:eastAsia="en-US"/>
    </w:rPr>
  </w:style>
  <w:style w:type="paragraph" w:customStyle="1" w:styleId="ListNumberLevel2">
    <w:name w:val="List Number (Level 2)"/>
    <w:basedOn w:val="Normal"/>
    <w:qFormat/>
    <w:rsid w:val="00B902C8"/>
    <w:pPr>
      <w:numPr>
        <w:ilvl w:val="1"/>
        <w:numId w:val="14"/>
      </w:numPr>
    </w:pPr>
    <w:rPr>
      <w:rFonts w:ascii="Times New Roman" w:hAnsi="Times New Roman"/>
      <w:sz w:val="24"/>
      <w:lang w:eastAsia="en-US"/>
    </w:rPr>
  </w:style>
  <w:style w:type="paragraph" w:customStyle="1" w:styleId="ListNumber1Level2">
    <w:name w:val="List Number 1 (Level 2)"/>
    <w:basedOn w:val="Text1"/>
    <w:qFormat/>
    <w:rsid w:val="00B902C8"/>
    <w:pPr>
      <w:numPr>
        <w:ilvl w:val="1"/>
        <w:numId w:val="15"/>
      </w:numPr>
    </w:pPr>
    <w:rPr>
      <w:rFonts w:ascii="Times New Roman" w:hAnsi="Times New Roman"/>
      <w:sz w:val="24"/>
      <w:lang w:eastAsia="en-US"/>
    </w:rPr>
  </w:style>
  <w:style w:type="paragraph" w:customStyle="1" w:styleId="ListNumber2Level2">
    <w:name w:val="List Number 2 (Level 2)"/>
    <w:basedOn w:val="Text2"/>
    <w:qFormat/>
    <w:rsid w:val="00B902C8"/>
    <w:pPr>
      <w:numPr>
        <w:ilvl w:val="1"/>
        <w:numId w:val="16"/>
      </w:numPr>
      <w:tabs>
        <w:tab w:val="clear" w:pos="2161"/>
      </w:tabs>
    </w:pPr>
    <w:rPr>
      <w:rFonts w:ascii="Times New Roman" w:hAnsi="Times New Roman"/>
      <w:sz w:val="24"/>
      <w:lang w:eastAsia="en-US"/>
    </w:rPr>
  </w:style>
  <w:style w:type="paragraph" w:customStyle="1" w:styleId="ListNumber3Level2">
    <w:name w:val="List Number 3 (Level 2)"/>
    <w:basedOn w:val="Text3"/>
    <w:qFormat/>
    <w:rsid w:val="00B902C8"/>
    <w:pPr>
      <w:numPr>
        <w:ilvl w:val="1"/>
        <w:numId w:val="17"/>
      </w:numPr>
      <w:tabs>
        <w:tab w:val="clear" w:pos="2302"/>
      </w:tabs>
    </w:pPr>
    <w:rPr>
      <w:rFonts w:ascii="Times New Roman" w:hAnsi="Times New Roman"/>
      <w:sz w:val="24"/>
      <w:lang w:eastAsia="en-US"/>
    </w:rPr>
  </w:style>
  <w:style w:type="paragraph" w:customStyle="1" w:styleId="ListNumber4Level2">
    <w:name w:val="List Number 4 (Level 2)"/>
    <w:basedOn w:val="Text4"/>
    <w:qFormat/>
    <w:rsid w:val="00B902C8"/>
    <w:pPr>
      <w:numPr>
        <w:ilvl w:val="1"/>
        <w:numId w:val="18"/>
      </w:numPr>
      <w:tabs>
        <w:tab w:val="clear" w:pos="2302"/>
      </w:tabs>
    </w:pPr>
    <w:rPr>
      <w:rFonts w:ascii="Times New Roman" w:hAnsi="Times New Roman"/>
      <w:sz w:val="24"/>
      <w:lang w:eastAsia="en-US"/>
    </w:rPr>
  </w:style>
  <w:style w:type="paragraph" w:customStyle="1" w:styleId="ListNumberLevel3">
    <w:name w:val="List Number (Level 3)"/>
    <w:basedOn w:val="Normal"/>
    <w:qFormat/>
    <w:rsid w:val="00B902C8"/>
    <w:pPr>
      <w:numPr>
        <w:ilvl w:val="2"/>
        <w:numId w:val="14"/>
      </w:numPr>
    </w:pPr>
    <w:rPr>
      <w:rFonts w:ascii="Times New Roman" w:hAnsi="Times New Roman"/>
      <w:sz w:val="24"/>
      <w:lang w:eastAsia="en-US"/>
    </w:rPr>
  </w:style>
  <w:style w:type="paragraph" w:customStyle="1" w:styleId="ListNumber1Level3">
    <w:name w:val="List Number 1 (Level 3)"/>
    <w:basedOn w:val="Text1"/>
    <w:qFormat/>
    <w:rsid w:val="00B902C8"/>
    <w:pPr>
      <w:numPr>
        <w:ilvl w:val="2"/>
        <w:numId w:val="15"/>
      </w:numPr>
    </w:pPr>
    <w:rPr>
      <w:rFonts w:ascii="Times New Roman" w:hAnsi="Times New Roman"/>
      <w:sz w:val="24"/>
      <w:lang w:eastAsia="en-US"/>
    </w:rPr>
  </w:style>
  <w:style w:type="paragraph" w:customStyle="1" w:styleId="ListNumber2Level3">
    <w:name w:val="List Number 2 (Level 3)"/>
    <w:basedOn w:val="Text2"/>
    <w:qFormat/>
    <w:rsid w:val="00B902C8"/>
    <w:pPr>
      <w:numPr>
        <w:ilvl w:val="2"/>
        <w:numId w:val="16"/>
      </w:numPr>
      <w:tabs>
        <w:tab w:val="clear" w:pos="2161"/>
      </w:tabs>
    </w:pPr>
    <w:rPr>
      <w:rFonts w:ascii="Times New Roman" w:hAnsi="Times New Roman"/>
      <w:sz w:val="24"/>
      <w:lang w:eastAsia="en-US"/>
    </w:rPr>
  </w:style>
  <w:style w:type="paragraph" w:customStyle="1" w:styleId="ListNumber3Level3">
    <w:name w:val="List Number 3 (Level 3)"/>
    <w:basedOn w:val="Text3"/>
    <w:qFormat/>
    <w:rsid w:val="00B902C8"/>
    <w:pPr>
      <w:numPr>
        <w:ilvl w:val="2"/>
        <w:numId w:val="17"/>
      </w:numPr>
      <w:tabs>
        <w:tab w:val="clear" w:pos="2302"/>
      </w:tabs>
    </w:pPr>
    <w:rPr>
      <w:rFonts w:ascii="Times New Roman" w:hAnsi="Times New Roman"/>
      <w:sz w:val="24"/>
      <w:lang w:eastAsia="en-US"/>
    </w:rPr>
  </w:style>
  <w:style w:type="paragraph" w:customStyle="1" w:styleId="ListNumber4Level3">
    <w:name w:val="List Number 4 (Level 3)"/>
    <w:basedOn w:val="Text4"/>
    <w:qFormat/>
    <w:rsid w:val="00B902C8"/>
    <w:pPr>
      <w:numPr>
        <w:ilvl w:val="2"/>
        <w:numId w:val="18"/>
      </w:numPr>
      <w:tabs>
        <w:tab w:val="clear" w:pos="2302"/>
      </w:tabs>
    </w:pPr>
    <w:rPr>
      <w:rFonts w:ascii="Times New Roman" w:hAnsi="Times New Roman"/>
      <w:sz w:val="24"/>
      <w:lang w:eastAsia="en-US"/>
    </w:rPr>
  </w:style>
  <w:style w:type="paragraph" w:customStyle="1" w:styleId="ListNumberLevel4">
    <w:name w:val="List Number (Level 4)"/>
    <w:basedOn w:val="Normal"/>
    <w:qFormat/>
    <w:rsid w:val="00B902C8"/>
    <w:pPr>
      <w:numPr>
        <w:ilvl w:val="3"/>
        <w:numId w:val="14"/>
      </w:numPr>
    </w:pPr>
    <w:rPr>
      <w:rFonts w:ascii="Times New Roman" w:hAnsi="Times New Roman"/>
      <w:sz w:val="24"/>
      <w:lang w:eastAsia="en-US"/>
    </w:rPr>
  </w:style>
  <w:style w:type="paragraph" w:customStyle="1" w:styleId="ListNumber1Level4">
    <w:name w:val="List Number 1 (Level 4)"/>
    <w:basedOn w:val="Text1"/>
    <w:qFormat/>
    <w:rsid w:val="00B902C8"/>
    <w:pPr>
      <w:numPr>
        <w:ilvl w:val="3"/>
        <w:numId w:val="15"/>
      </w:numPr>
    </w:pPr>
    <w:rPr>
      <w:rFonts w:ascii="Times New Roman" w:hAnsi="Times New Roman"/>
      <w:sz w:val="24"/>
      <w:lang w:eastAsia="en-US"/>
    </w:rPr>
  </w:style>
  <w:style w:type="paragraph" w:customStyle="1" w:styleId="ListNumber2Level4">
    <w:name w:val="List Number 2 (Level 4)"/>
    <w:basedOn w:val="Text2"/>
    <w:qFormat/>
    <w:rsid w:val="00B902C8"/>
    <w:pPr>
      <w:numPr>
        <w:ilvl w:val="3"/>
        <w:numId w:val="16"/>
      </w:numPr>
      <w:tabs>
        <w:tab w:val="clear" w:pos="2161"/>
      </w:tabs>
    </w:pPr>
    <w:rPr>
      <w:rFonts w:ascii="Times New Roman" w:hAnsi="Times New Roman"/>
      <w:sz w:val="24"/>
      <w:lang w:eastAsia="en-US"/>
    </w:rPr>
  </w:style>
  <w:style w:type="paragraph" w:customStyle="1" w:styleId="ListNumber3Level4">
    <w:name w:val="List Number 3 (Level 4)"/>
    <w:basedOn w:val="Text3"/>
    <w:qFormat/>
    <w:rsid w:val="00B902C8"/>
    <w:pPr>
      <w:numPr>
        <w:ilvl w:val="3"/>
        <w:numId w:val="17"/>
      </w:numPr>
      <w:tabs>
        <w:tab w:val="clear" w:pos="2302"/>
      </w:tabs>
    </w:pPr>
    <w:rPr>
      <w:rFonts w:ascii="Times New Roman" w:hAnsi="Times New Roman"/>
      <w:sz w:val="24"/>
      <w:lang w:eastAsia="en-US"/>
    </w:rPr>
  </w:style>
  <w:style w:type="paragraph" w:customStyle="1" w:styleId="ListNumber4Level4">
    <w:name w:val="List Number 4 (Level 4)"/>
    <w:basedOn w:val="Text4"/>
    <w:qFormat/>
    <w:rsid w:val="00B902C8"/>
    <w:pPr>
      <w:numPr>
        <w:ilvl w:val="3"/>
        <w:numId w:val="18"/>
      </w:numPr>
      <w:tabs>
        <w:tab w:val="clear" w:pos="2302"/>
      </w:tabs>
    </w:pPr>
    <w:rPr>
      <w:rFonts w:ascii="Times New Roman" w:hAnsi="Times New Roman"/>
      <w:sz w:val="24"/>
      <w:lang w:eastAsia="en-US"/>
    </w:rPr>
  </w:style>
  <w:style w:type="paragraph" w:customStyle="1" w:styleId="indexheading2">
    <w:name w:val="index heading2"/>
    <w:basedOn w:val="Heading"/>
    <w:qFormat/>
  </w:style>
  <w:style w:type="paragraph" w:customStyle="1" w:styleId="indexheading3">
    <w:name w:val="index heading3"/>
    <w:basedOn w:val="Heading"/>
    <w:qFormat/>
  </w:style>
  <w:style w:type="paragraph" w:styleId="IndexHeading">
    <w:name w:val="index heading"/>
    <w:basedOn w:val="Heading"/>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qFormat/>
    <w:rsid w:val="007C05EF"/>
    <w:pPr>
      <w:spacing w:before="60" w:after="60"/>
      <w:jc w:val="left"/>
    </w:pPr>
    <w:rPr>
      <w:rFonts w:ascii="Times New Roman" w:hAnsi="Times New Roman"/>
    </w:rPr>
  </w:style>
  <w:style w:type="paragraph" w:styleId="CommentSubject">
    <w:name w:val="annotation subject"/>
    <w:basedOn w:val="CommentText"/>
    <w:next w:val="CommentText"/>
    <w:semiHidden/>
    <w:qFormat/>
    <w:rsid w:val="0061269A"/>
    <w:rPr>
      <w:b/>
      <w:bCs/>
    </w:rPr>
  </w:style>
  <w:style w:type="paragraph" w:styleId="BalloonText">
    <w:name w:val="Balloon Text"/>
    <w:basedOn w:val="Normal"/>
    <w:semiHidden/>
    <w:qFormat/>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paragraph" w:styleId="Revision">
    <w:name w:val="Revision"/>
    <w:uiPriority w:val="99"/>
    <w:semiHidden/>
    <w:qFormat/>
    <w:rsid w:val="009F2A7A"/>
    <w:rPr>
      <w:rFonts w:ascii="Arial" w:hAnsi="Arial"/>
    </w:rPr>
  </w:style>
  <w:style w:type="paragraph" w:customStyle="1" w:styleId="Outline">
    <w:name w:val="Outline"/>
    <w:basedOn w:val="Normal"/>
    <w:qFormat/>
    <w:pPr>
      <w:spacing w:before="240" w:after="0"/>
      <w:jc w:val="left"/>
    </w:pPr>
    <w:rPr>
      <w:rFonts w:ascii="Times New Roman" w:hAnsi="Times New Roman"/>
      <w:kern w:val="2"/>
      <w:sz w:val="24"/>
      <w:lang w:val="en-US" w:eastAsia="en-US"/>
    </w:rPr>
  </w:style>
  <w:style w:type="paragraph" w:customStyle="1" w:styleId="TableContents">
    <w:name w:val="Table Contents"/>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3F6F9-7FBD-4C81-8E91-7EE20CDB7743}">
  <ds:schemaRefs>
    <ds:schemaRef ds:uri="http://schemas.openxmlformats.org/officeDocument/2006/bibliography"/>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5781</Words>
  <Characters>32954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Maja Baric</cp:lastModifiedBy>
  <cp:revision>7</cp:revision>
  <dcterms:created xsi:type="dcterms:W3CDTF">2024-03-08T12:46:00Z</dcterms:created>
  <dcterms:modified xsi:type="dcterms:W3CDTF">2024-04-05T08:04:00Z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Created using">
    <vt:lpwstr>3.7</vt:lpwstr>
  </property>
  <property fmtid="{D5CDD505-2E9C-101B-9397-08002B2CF9AE}" pid="4" name="ELDocType">
    <vt:lpwstr>REP.DOT</vt:lpwstr>
  </property>
  <property fmtid="{D5CDD505-2E9C-101B-9397-08002B2CF9AE}" pid="5" name="Editor">
    <vt:lpwstr>kilbyrn</vt:lpwstr>
  </property>
  <property fmtid="{D5CDD505-2E9C-101B-9397-08002B2CF9AE}" pid="6" name="EurolookVersion">
    <vt:lpwstr>3.7</vt:lpwstr>
  </property>
  <property fmtid="{D5CDD505-2E9C-101B-9397-08002B2CF9AE}" pid="7" name="Formatting">
    <vt:lpwstr>4.1</vt:lpwstr>
  </property>
  <property fmtid="{D5CDD505-2E9C-101B-9397-08002B2CF9AE}" pid="8" name="Last edited using">
    <vt:lpwstr>EL 4.6 Build 50000</vt:lpwstr>
  </property>
</Properties>
</file>